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72" w:rsidRDefault="00A93772" w:rsidP="00A93772">
      <w:pPr>
        <w:pStyle w:val="a3"/>
        <w:ind w:firstLine="540"/>
        <w:rPr>
          <w:sz w:val="20"/>
        </w:rPr>
      </w:pPr>
      <w:r w:rsidRPr="005F5E98">
        <w:rPr>
          <w:sz w:val="20"/>
        </w:rPr>
        <w:t xml:space="preserve">УПРАВЛЕНИЕ ИМУЩЕСТВЕННЫХ И ЗЕМЕЛЬНЫХ ОТНОШЕНИЙ </w:t>
      </w:r>
    </w:p>
    <w:p w:rsidR="00A93772" w:rsidRPr="005F5E98" w:rsidRDefault="00A93772" w:rsidP="00A93772">
      <w:pPr>
        <w:pStyle w:val="a3"/>
        <w:ind w:firstLine="540"/>
        <w:rPr>
          <w:sz w:val="20"/>
        </w:rPr>
      </w:pPr>
      <w:r w:rsidRPr="005F5E98">
        <w:rPr>
          <w:sz w:val="20"/>
        </w:rPr>
        <w:t>АДМИНИСТРАЦИИ ГОРОДА БЕРЕЗНИКИ</w:t>
      </w:r>
    </w:p>
    <w:p w:rsidR="00A93772" w:rsidRDefault="00A93772" w:rsidP="00A93772">
      <w:pPr>
        <w:ind w:firstLine="540"/>
        <w:jc w:val="center"/>
        <w:rPr>
          <w:b/>
        </w:rPr>
      </w:pPr>
      <w:r w:rsidRPr="005F5E98">
        <w:rPr>
          <w:b/>
        </w:rPr>
        <w:t xml:space="preserve">на основании решений заседания комиссии по продаже земельных участков и прав их аренды </w:t>
      </w:r>
    </w:p>
    <w:p w:rsidR="00A93772" w:rsidRPr="005F5E98" w:rsidRDefault="00A93772" w:rsidP="00A93772">
      <w:pPr>
        <w:ind w:firstLine="540"/>
        <w:jc w:val="center"/>
        <w:rPr>
          <w:b/>
        </w:rPr>
      </w:pPr>
      <w:r w:rsidRPr="005F5E98">
        <w:rPr>
          <w:b/>
        </w:rPr>
        <w:t xml:space="preserve">от </w:t>
      </w:r>
      <w:r>
        <w:rPr>
          <w:b/>
        </w:rPr>
        <w:t>09 ноября</w:t>
      </w:r>
      <w:r w:rsidRPr="005F5E98">
        <w:rPr>
          <w:b/>
        </w:rPr>
        <w:t xml:space="preserve"> 2015 года</w:t>
      </w:r>
    </w:p>
    <w:p w:rsidR="00A93772" w:rsidRPr="005F5E98" w:rsidRDefault="00A93772" w:rsidP="00A93772">
      <w:pPr>
        <w:ind w:firstLine="540"/>
        <w:jc w:val="center"/>
        <w:rPr>
          <w:b/>
        </w:rPr>
      </w:pPr>
      <w:r w:rsidRPr="005F5E98">
        <w:rPr>
          <w:b/>
        </w:rPr>
        <w:t xml:space="preserve">сообщает о проведении торгов по продаже прав </w:t>
      </w:r>
      <w:r>
        <w:rPr>
          <w:b/>
        </w:rPr>
        <w:t>на</w:t>
      </w:r>
      <w:r w:rsidRPr="005F5E98">
        <w:rPr>
          <w:b/>
        </w:rPr>
        <w:t xml:space="preserve"> земельны</w:t>
      </w:r>
      <w:r>
        <w:rPr>
          <w:b/>
        </w:rPr>
        <w:t>е</w:t>
      </w:r>
      <w:r w:rsidRPr="005F5E98">
        <w:rPr>
          <w:b/>
        </w:rPr>
        <w:t xml:space="preserve"> участк</w:t>
      </w:r>
      <w:r>
        <w:rPr>
          <w:b/>
        </w:rPr>
        <w:t>и</w:t>
      </w:r>
    </w:p>
    <w:p w:rsidR="00A93772" w:rsidRPr="005F5E98" w:rsidRDefault="00A93772" w:rsidP="00A93772">
      <w:pPr>
        <w:ind w:firstLine="540"/>
        <w:jc w:val="both"/>
        <w:rPr>
          <w:b/>
        </w:rPr>
      </w:pPr>
    </w:p>
    <w:p w:rsidR="00A93772" w:rsidRPr="005F5E98" w:rsidRDefault="00A93772" w:rsidP="00A93772">
      <w:pPr>
        <w:ind w:firstLine="540"/>
        <w:jc w:val="both"/>
        <w:rPr>
          <w:b/>
        </w:rPr>
      </w:pPr>
      <w:r w:rsidRPr="005F5E98">
        <w:rPr>
          <w:b/>
        </w:rPr>
        <w:t>Для продажи на торгах предлагаются следующие лоты:</w:t>
      </w:r>
    </w:p>
    <w:p w:rsidR="00A93772" w:rsidRPr="005F5E98" w:rsidRDefault="00A93772" w:rsidP="00A93772">
      <w:pPr>
        <w:ind w:firstLine="540"/>
        <w:jc w:val="both"/>
        <w:rPr>
          <w:b/>
        </w:rPr>
      </w:pPr>
    </w:p>
    <w:p w:rsidR="00A93772" w:rsidRPr="00657D28" w:rsidRDefault="00A93772" w:rsidP="00A93772">
      <w:pPr>
        <w:pStyle w:val="3"/>
        <w:ind w:firstLine="284"/>
        <w:rPr>
          <w:sz w:val="20"/>
        </w:rPr>
      </w:pPr>
      <w:r w:rsidRPr="00657D28">
        <w:rPr>
          <w:b/>
          <w:sz w:val="20"/>
        </w:rPr>
        <w:t>Лот № 1.</w:t>
      </w:r>
      <w:r w:rsidRPr="00657D28">
        <w:rPr>
          <w:sz w:val="20"/>
        </w:rPr>
        <w:t xml:space="preserve"> Право заключения договора аренды земельного участка (категория земель – земли населенных пунктов) с кадастровым номером 59:03:0000000:7233 пл</w:t>
      </w:r>
      <w:r w:rsidRPr="00657D28">
        <w:rPr>
          <w:sz w:val="20"/>
        </w:rPr>
        <w:t>о</w:t>
      </w:r>
      <w:r w:rsidRPr="00657D28">
        <w:rPr>
          <w:sz w:val="20"/>
        </w:rPr>
        <w:t>щадью 3522 кв.м для проектно-изыскательских работ и строительства многоэтажной стоянки для легковых автомобилей (зона Ж-1) в районе пересечения улиц Мира и Свердлова. Срок аренды – 10 лет.</w:t>
      </w:r>
    </w:p>
    <w:p w:rsidR="00A93772" w:rsidRPr="00657D28" w:rsidRDefault="00A93772" w:rsidP="00A93772">
      <w:pPr>
        <w:pStyle w:val="2"/>
        <w:ind w:firstLine="284"/>
        <w:jc w:val="both"/>
        <w:rPr>
          <w:b/>
          <w:sz w:val="20"/>
        </w:rPr>
      </w:pPr>
      <w:r w:rsidRPr="00657D28">
        <w:rPr>
          <w:b/>
          <w:sz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w:t>
      </w:r>
      <w:r w:rsidRPr="00657D28">
        <w:rPr>
          <w:b/>
          <w:sz w:val="20"/>
        </w:rPr>
        <w:t>о</w:t>
      </w:r>
      <w:r w:rsidRPr="00657D28">
        <w:rPr>
          <w:b/>
          <w:sz w:val="20"/>
        </w:rPr>
        <w:t xml:space="preserve">ченных органах. </w:t>
      </w:r>
    </w:p>
    <w:p w:rsidR="00A93772" w:rsidRPr="00657D28" w:rsidRDefault="00A93772" w:rsidP="00A93772">
      <w:pPr>
        <w:pStyle w:val="2"/>
        <w:tabs>
          <w:tab w:val="left" w:pos="-142"/>
          <w:tab w:val="left" w:pos="90"/>
        </w:tabs>
        <w:ind w:firstLine="284"/>
        <w:jc w:val="both"/>
        <w:rPr>
          <w:b/>
          <w:sz w:val="20"/>
        </w:rPr>
      </w:pPr>
      <w:r w:rsidRPr="00657D28">
        <w:rPr>
          <w:b/>
          <w:sz w:val="20"/>
        </w:rPr>
        <w:t>Дополнительное условие торгов: на часть земельного участка площадью 255 кв.м от земельного участка с кадастровым номером 59:03:0000000:7233 установлен публичный сервитут для использования части земельного участка в целях прохода и проезда через земельный участок.</w:t>
      </w:r>
    </w:p>
    <w:p w:rsidR="00A93772" w:rsidRPr="00657D28" w:rsidRDefault="00A93772" w:rsidP="00A93772">
      <w:pPr>
        <w:pStyle w:val="2"/>
        <w:tabs>
          <w:tab w:val="left" w:pos="90"/>
        </w:tabs>
        <w:ind w:firstLine="284"/>
        <w:jc w:val="both"/>
        <w:rPr>
          <w:b/>
          <w:sz w:val="20"/>
        </w:rPr>
      </w:pPr>
      <w:r w:rsidRPr="00657D28">
        <w:rPr>
          <w:b/>
          <w:sz w:val="20"/>
        </w:rPr>
        <w:t>Начальная цена предмета торгов: размер ежегодной арендной платы за землю – 110 000,00 рублей.</w:t>
      </w:r>
    </w:p>
    <w:p w:rsidR="00A93772" w:rsidRPr="00657D28" w:rsidRDefault="00A93772" w:rsidP="00A93772">
      <w:pPr>
        <w:tabs>
          <w:tab w:val="left" w:pos="90"/>
        </w:tabs>
        <w:ind w:firstLine="284"/>
        <w:jc w:val="both"/>
        <w:rPr>
          <w:b/>
        </w:rPr>
      </w:pPr>
      <w:r w:rsidRPr="00657D28">
        <w:rPr>
          <w:b/>
        </w:rPr>
        <w:t>Сумма задатка: 20 % от начальной цены предмета торгов – 22 000,00 руб.</w:t>
      </w:r>
    </w:p>
    <w:p w:rsidR="00A93772" w:rsidRPr="00657D28" w:rsidRDefault="00A93772" w:rsidP="00A93772">
      <w:pPr>
        <w:tabs>
          <w:tab w:val="left" w:pos="709"/>
        </w:tabs>
        <w:ind w:firstLine="284"/>
        <w:jc w:val="center"/>
        <w:rPr>
          <w:b/>
          <w:bCs/>
        </w:rPr>
      </w:pPr>
      <w:r w:rsidRPr="00657D28">
        <w:rPr>
          <w:b/>
          <w:bCs/>
        </w:rPr>
        <w:t>Параметры разрешенного строительного изменения объектов недвижимости</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17"/>
        <w:gridCol w:w="7101"/>
        <w:gridCol w:w="394"/>
        <w:gridCol w:w="2401"/>
      </w:tblGrid>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both"/>
              <w:rPr>
                <w:sz w:val="20"/>
                <w:szCs w:val="20"/>
              </w:rPr>
            </w:pPr>
            <w:r w:rsidRPr="00657D28">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both"/>
              <w:rPr>
                <w:sz w:val="20"/>
                <w:szCs w:val="20"/>
              </w:rPr>
            </w:pPr>
            <w:r w:rsidRPr="00657D28">
              <w:rPr>
                <w:sz w:val="20"/>
                <w:szCs w:val="20"/>
              </w:rPr>
              <w:t>Расстояние от края основной проезжей части магистральных дорог до линии регулирования жилой застройки без применения шумоз</w:t>
            </w:r>
            <w:r w:rsidRPr="00657D28">
              <w:rPr>
                <w:sz w:val="20"/>
                <w:szCs w:val="20"/>
              </w:rPr>
              <w:t>а</w:t>
            </w:r>
            <w:r w:rsidRPr="00657D28">
              <w:rPr>
                <w:sz w:val="20"/>
                <w:szCs w:val="20"/>
              </w:rPr>
              <w:t>щитных устройств</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both"/>
              <w:rPr>
                <w:sz w:val="20"/>
                <w:szCs w:val="20"/>
              </w:rPr>
            </w:pPr>
            <w:r w:rsidRPr="00657D28">
              <w:rPr>
                <w:sz w:val="20"/>
                <w:szCs w:val="20"/>
              </w:rPr>
              <w:t>м</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center"/>
              <w:rPr>
                <w:sz w:val="20"/>
                <w:szCs w:val="20"/>
              </w:rPr>
            </w:pPr>
            <w:r w:rsidRPr="00657D28">
              <w:rPr>
                <w:sz w:val="20"/>
                <w:szCs w:val="20"/>
              </w:rPr>
              <w:t>не менее 50</w:t>
            </w:r>
          </w:p>
        </w:tc>
      </w:tr>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both"/>
              <w:rPr>
                <w:sz w:val="20"/>
                <w:szCs w:val="20"/>
              </w:rPr>
            </w:pPr>
            <w:r w:rsidRPr="00657D28">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both"/>
              <w:rPr>
                <w:sz w:val="20"/>
                <w:szCs w:val="20"/>
              </w:rPr>
            </w:pPr>
            <w:r w:rsidRPr="00657D28">
              <w:rPr>
                <w:sz w:val="20"/>
                <w:szCs w:val="20"/>
              </w:rPr>
              <w:t>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w:t>
            </w:r>
            <w:r w:rsidRPr="00657D28">
              <w:rPr>
                <w:sz w:val="20"/>
                <w:szCs w:val="20"/>
              </w:rPr>
              <w:t>е</w:t>
            </w:r>
            <w:r w:rsidRPr="00657D28">
              <w:rPr>
                <w:sz w:val="20"/>
                <w:szCs w:val="20"/>
              </w:rPr>
              <w:t>чивающих требования пункта 11.6. СП 42.13330.2011</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both"/>
              <w:rPr>
                <w:sz w:val="20"/>
                <w:szCs w:val="20"/>
              </w:rPr>
            </w:pPr>
            <w:r w:rsidRPr="00657D28">
              <w:rPr>
                <w:sz w:val="20"/>
                <w:szCs w:val="20"/>
              </w:rPr>
              <w:t>м</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center"/>
              <w:rPr>
                <w:sz w:val="20"/>
                <w:szCs w:val="20"/>
              </w:rPr>
            </w:pPr>
            <w:r w:rsidRPr="00657D28">
              <w:rPr>
                <w:sz w:val="20"/>
                <w:szCs w:val="20"/>
              </w:rPr>
              <w:t>не менее 25</w:t>
            </w:r>
          </w:p>
        </w:tc>
      </w:tr>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3</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Максимальное расстояние от края основной проезжей части  улиц, местных или боковых проездов до линии застройки</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м</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25</w:t>
            </w:r>
          </w:p>
        </w:tc>
      </w:tr>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4</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Минимальный отступ жилых зданий от красной линии</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м</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rPr>
                <w:lang w:val="en-GB"/>
              </w:rPr>
            </w:pPr>
            <w:r w:rsidRPr="00657D28">
              <w:rPr>
                <w:lang w:val="en-GB"/>
              </w:rPr>
              <w:t>5</w:t>
            </w:r>
          </w:p>
        </w:tc>
      </w:tr>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5</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 xml:space="preserve">Минимальное расстояние от стен детских дошкольных учреждений и общеобразовательных школ до красных линий </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м</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25</w:t>
            </w:r>
          </w:p>
        </w:tc>
      </w:tr>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both"/>
              <w:rPr>
                <w:sz w:val="20"/>
                <w:szCs w:val="20"/>
              </w:rPr>
            </w:pPr>
            <w:r w:rsidRPr="00657D28">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both"/>
              <w:rPr>
                <w:sz w:val="20"/>
                <w:szCs w:val="20"/>
              </w:rPr>
            </w:pPr>
            <w:r w:rsidRPr="00657D28">
              <w:rPr>
                <w:sz w:val="20"/>
                <w:szCs w:val="20"/>
              </w:rPr>
              <w:t>Минимальное расстояние между длинными сторонами жилых зданий</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jc w:val="both"/>
              <w:rPr>
                <w:sz w:val="20"/>
                <w:szCs w:val="20"/>
              </w:rPr>
            </w:pPr>
            <w:r w:rsidRPr="00657D28">
              <w:rPr>
                <w:sz w:val="20"/>
                <w:szCs w:val="20"/>
              </w:rPr>
              <w:t>м</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pStyle w:val="Style2"/>
              <w:widowControl/>
              <w:tabs>
                <w:tab w:val="left" w:pos="0"/>
              </w:tabs>
              <w:ind w:right="51"/>
              <w:rPr>
                <w:sz w:val="20"/>
                <w:szCs w:val="20"/>
              </w:rPr>
            </w:pPr>
            <w:r w:rsidRPr="00657D28">
              <w:rPr>
                <w:sz w:val="20"/>
                <w:szCs w:val="20"/>
              </w:rPr>
              <w:t>Согласно действующим нормативным требов</w:t>
            </w:r>
            <w:r w:rsidRPr="00657D28">
              <w:rPr>
                <w:sz w:val="20"/>
                <w:szCs w:val="20"/>
              </w:rPr>
              <w:t>а</w:t>
            </w:r>
            <w:r w:rsidRPr="00657D28">
              <w:rPr>
                <w:sz w:val="20"/>
                <w:szCs w:val="20"/>
              </w:rPr>
              <w:t>ниям</w:t>
            </w:r>
          </w:p>
        </w:tc>
      </w:tr>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7</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Минимальные разрывы между стенами зданий без окон из жилых комнат</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м</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6</w:t>
            </w:r>
          </w:p>
        </w:tc>
      </w:tr>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8</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Максимальная высота здания</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м</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15</w:t>
            </w:r>
            <w:r w:rsidRPr="00657D28">
              <w:rPr>
                <w:rStyle w:val="a7"/>
              </w:rPr>
              <w:footnoteReference w:id="2"/>
            </w:r>
          </w:p>
        </w:tc>
      </w:tr>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rPr>
                <w:lang w:val="en-GB"/>
              </w:rPr>
            </w:pPr>
            <w:r w:rsidRPr="00657D28">
              <w:rPr>
                <w:lang w:val="en-GB"/>
              </w:rPr>
              <w:t>9</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Максимальный процент застройки участка</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60</w:t>
            </w:r>
          </w:p>
        </w:tc>
      </w:tr>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13</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Минимальное расстояние между жилыми, общественными и вспомогательными зданиями промышленных предприятий I и II степени огнестойкости</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м</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6</w:t>
            </w:r>
          </w:p>
        </w:tc>
      </w:tr>
      <w:tr w:rsidR="00A93772" w:rsidRPr="00657D28" w:rsidTr="00C60A64">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14</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r w:rsidRPr="00657D28">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м</w:t>
            </w:r>
          </w:p>
        </w:tc>
        <w:tc>
          <w:tcPr>
            <w:tcW w:w="0" w:type="auto"/>
            <w:tcBorders>
              <w:top w:val="single" w:sz="4" w:space="0" w:color="auto"/>
              <w:left w:val="single" w:sz="4" w:space="0" w:color="auto"/>
              <w:bottom w:val="single" w:sz="4" w:space="0" w:color="auto"/>
              <w:right w:val="single" w:sz="4" w:space="0" w:color="auto"/>
            </w:tcBorders>
          </w:tcPr>
          <w:p w:rsidR="00A93772" w:rsidRPr="00657D28" w:rsidRDefault="00A93772" w:rsidP="00C60A64">
            <w:pPr>
              <w:jc w:val="center"/>
            </w:pPr>
            <w:r w:rsidRPr="00657D28">
              <w:t>8</w:t>
            </w:r>
          </w:p>
        </w:tc>
      </w:tr>
    </w:tbl>
    <w:p w:rsidR="00A93772" w:rsidRPr="00657D28" w:rsidRDefault="00A93772" w:rsidP="00A93772">
      <w:pPr>
        <w:autoSpaceDE w:val="0"/>
        <w:autoSpaceDN w:val="0"/>
        <w:adjustRightInd w:val="0"/>
        <w:ind w:firstLine="284"/>
        <w:jc w:val="both"/>
        <w:rPr>
          <w:b/>
          <w:bCs/>
        </w:rPr>
      </w:pPr>
      <w:r w:rsidRPr="00657D28">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93772" w:rsidRPr="00657D28" w:rsidRDefault="00A93772" w:rsidP="00A93772">
      <w:pPr>
        <w:autoSpaceDE w:val="0"/>
        <w:autoSpaceDN w:val="0"/>
        <w:adjustRightInd w:val="0"/>
        <w:ind w:firstLine="284"/>
        <w:jc w:val="both"/>
        <w:rPr>
          <w:bCs/>
        </w:rPr>
      </w:pPr>
      <w:r w:rsidRPr="00657D28">
        <w:rPr>
          <w:bCs/>
        </w:rPr>
        <w:t>1. Технические условия подключения к тепловым сетям:</w:t>
      </w:r>
    </w:p>
    <w:p w:rsidR="00A93772" w:rsidRPr="00657D28" w:rsidRDefault="00A93772" w:rsidP="00A93772">
      <w:pPr>
        <w:autoSpaceDE w:val="0"/>
        <w:autoSpaceDN w:val="0"/>
        <w:adjustRightInd w:val="0"/>
        <w:ind w:firstLine="284"/>
        <w:jc w:val="both"/>
        <w:rPr>
          <w:bCs/>
        </w:rPr>
      </w:pPr>
      <w:r w:rsidRPr="00657D28">
        <w:rPr>
          <w:bCs/>
        </w:rPr>
        <w:t>1.1. источник теплоснабжения: ТЭЦ-2;</w:t>
      </w:r>
    </w:p>
    <w:p w:rsidR="00A93772" w:rsidRPr="00657D28" w:rsidRDefault="00A93772" w:rsidP="00A93772">
      <w:pPr>
        <w:autoSpaceDE w:val="0"/>
        <w:autoSpaceDN w:val="0"/>
        <w:adjustRightInd w:val="0"/>
        <w:ind w:firstLine="284"/>
        <w:jc w:val="both"/>
        <w:rPr>
          <w:bCs/>
        </w:rPr>
      </w:pPr>
      <w:r w:rsidRPr="00657D28">
        <w:rPr>
          <w:bCs/>
        </w:rPr>
        <w:t>1.2. возможные точки подключения к тепловым сетям: существующая тепловая камера ТК-311а по ул. Мира, на тепловой сети Ду 100мм к торговому центру;</w:t>
      </w:r>
    </w:p>
    <w:p w:rsidR="00A93772" w:rsidRPr="00657D28" w:rsidRDefault="00A93772" w:rsidP="00A93772">
      <w:pPr>
        <w:autoSpaceDE w:val="0"/>
        <w:autoSpaceDN w:val="0"/>
        <w:adjustRightInd w:val="0"/>
        <w:ind w:firstLine="284"/>
        <w:jc w:val="both"/>
        <w:rPr>
          <w:bCs/>
        </w:rPr>
      </w:pPr>
      <w:r w:rsidRPr="00657D28">
        <w:rPr>
          <w:bCs/>
        </w:rPr>
        <w:t xml:space="preserve">1.3. размер предполагаемой нагрузки ресурса в возможных точках подключения: </w:t>
      </w:r>
      <w:r w:rsidRPr="00657D28">
        <w:rPr>
          <w:bCs/>
          <w:lang w:val="en-US"/>
        </w:rPr>
        <w:t>Qmax</w:t>
      </w:r>
      <w:r w:rsidRPr="00657D28">
        <w:rPr>
          <w:bCs/>
        </w:rPr>
        <w:t xml:space="preserve"> – 0,40 Гкал/час; размер нагрузки ресурса может быть скорректирован с дальнейшем внесением изменений в технические условия по запросу заказчика;</w:t>
      </w:r>
    </w:p>
    <w:p w:rsidR="00A93772" w:rsidRPr="00657D28" w:rsidRDefault="00A93772" w:rsidP="00A93772">
      <w:pPr>
        <w:autoSpaceDE w:val="0"/>
        <w:autoSpaceDN w:val="0"/>
        <w:adjustRightInd w:val="0"/>
        <w:ind w:firstLine="284"/>
        <w:jc w:val="both"/>
        <w:rPr>
          <w:bCs/>
        </w:rPr>
      </w:pPr>
      <w:r w:rsidRPr="00657D28">
        <w:rPr>
          <w:bCs/>
        </w:rPr>
        <w:t>1.4. информация о подключении:</w:t>
      </w:r>
    </w:p>
    <w:p w:rsidR="00A93772" w:rsidRPr="00657D28" w:rsidRDefault="00A93772" w:rsidP="00A93772">
      <w:pPr>
        <w:autoSpaceDE w:val="0"/>
        <w:autoSpaceDN w:val="0"/>
        <w:adjustRightInd w:val="0"/>
        <w:ind w:firstLine="284"/>
        <w:jc w:val="both"/>
        <w:rPr>
          <w:bCs/>
        </w:rPr>
      </w:pPr>
      <w:r w:rsidRPr="00657D28">
        <w:rPr>
          <w:bCs/>
        </w:rPr>
        <w:t>- нормативный срок подключения: в соответствии с п. 31 Постановления Правительства РФ от 16.04.2012 № 307;</w:t>
      </w:r>
    </w:p>
    <w:p w:rsidR="00A93772" w:rsidRPr="00657D28" w:rsidRDefault="00A93772" w:rsidP="00A93772">
      <w:pPr>
        <w:autoSpaceDE w:val="0"/>
        <w:autoSpaceDN w:val="0"/>
        <w:adjustRightInd w:val="0"/>
        <w:ind w:firstLine="284"/>
        <w:jc w:val="both"/>
        <w:rPr>
          <w:bCs/>
        </w:rPr>
      </w:pPr>
      <w:r w:rsidRPr="00657D28">
        <w:rPr>
          <w:bCs/>
        </w:rPr>
        <w:t>- информация о порядке определения размера платы за подключение: тариф, установленный РСТ;</w:t>
      </w:r>
    </w:p>
    <w:p w:rsidR="00A93772" w:rsidRPr="00657D28" w:rsidRDefault="00A93772" w:rsidP="00A93772">
      <w:pPr>
        <w:autoSpaceDE w:val="0"/>
        <w:autoSpaceDN w:val="0"/>
        <w:adjustRightInd w:val="0"/>
        <w:ind w:firstLine="284"/>
        <w:jc w:val="both"/>
        <w:rPr>
          <w:bCs/>
        </w:rPr>
      </w:pPr>
      <w:r w:rsidRPr="00657D28">
        <w:rPr>
          <w:bCs/>
        </w:rPr>
        <w:t>- иная необходимая информация: наличие технической возможности, проведение мероприятий по реконструкции либо строительству тепловой сети не требуется;</w:t>
      </w:r>
    </w:p>
    <w:p w:rsidR="00A93772" w:rsidRPr="00657D28" w:rsidRDefault="00A93772" w:rsidP="00A93772">
      <w:pPr>
        <w:autoSpaceDE w:val="0"/>
        <w:autoSpaceDN w:val="0"/>
        <w:adjustRightInd w:val="0"/>
        <w:ind w:firstLine="284"/>
        <w:jc w:val="both"/>
        <w:rPr>
          <w:bCs/>
        </w:rPr>
      </w:pPr>
      <w:r w:rsidRPr="00657D28">
        <w:rPr>
          <w:bCs/>
        </w:rPr>
        <w:t>1.5. срок действия технических условий – до 15.06.2018;</w:t>
      </w:r>
    </w:p>
    <w:p w:rsidR="00A93772" w:rsidRPr="00657D28" w:rsidRDefault="00A93772" w:rsidP="00A93772">
      <w:pPr>
        <w:autoSpaceDE w:val="0"/>
        <w:autoSpaceDN w:val="0"/>
        <w:adjustRightInd w:val="0"/>
        <w:ind w:firstLine="284"/>
        <w:jc w:val="both"/>
        <w:rPr>
          <w:bCs/>
        </w:rPr>
      </w:pPr>
      <w:r w:rsidRPr="00657D28">
        <w:rPr>
          <w:bCs/>
        </w:rPr>
        <w:t>2. Технические условия подключения к сетям водоснабжения и водоотведения:</w:t>
      </w:r>
    </w:p>
    <w:p w:rsidR="00A93772" w:rsidRPr="00657D28" w:rsidRDefault="00A93772" w:rsidP="00A93772">
      <w:pPr>
        <w:autoSpaceDE w:val="0"/>
        <w:autoSpaceDN w:val="0"/>
        <w:adjustRightInd w:val="0"/>
        <w:ind w:firstLine="284"/>
        <w:jc w:val="both"/>
        <w:rPr>
          <w:bCs/>
        </w:rPr>
      </w:pPr>
      <w:r w:rsidRPr="00657D28">
        <w:rPr>
          <w:bCs/>
        </w:rPr>
        <w:t>2.1. максимальное планируемое водопотребление в возможных точках подключения (предельная свободная мощность) – 0,21 м</w:t>
      </w:r>
      <w:r w:rsidRPr="00657D28">
        <w:rPr>
          <w:bCs/>
          <w:vertAlign w:val="superscript"/>
        </w:rPr>
        <w:t>3</w:t>
      </w:r>
      <w:r w:rsidRPr="00657D28">
        <w:rPr>
          <w:bCs/>
        </w:rPr>
        <w:t>/сут;</w:t>
      </w:r>
    </w:p>
    <w:p w:rsidR="00A93772" w:rsidRPr="00657D28" w:rsidRDefault="00A93772" w:rsidP="00A93772">
      <w:pPr>
        <w:autoSpaceDE w:val="0"/>
        <w:autoSpaceDN w:val="0"/>
        <w:adjustRightInd w:val="0"/>
        <w:ind w:firstLine="284"/>
        <w:jc w:val="both"/>
        <w:rPr>
          <w:bCs/>
        </w:rPr>
      </w:pPr>
      <w:r w:rsidRPr="00657D28">
        <w:rPr>
          <w:bCs/>
        </w:rPr>
        <w:t>2.2. максимальное планируемое водоотведение в возможных точках подключения – 0,21 м</w:t>
      </w:r>
      <w:r w:rsidRPr="00657D28">
        <w:rPr>
          <w:bCs/>
          <w:vertAlign w:val="superscript"/>
        </w:rPr>
        <w:t>3</w:t>
      </w:r>
      <w:r w:rsidRPr="00657D28">
        <w:rPr>
          <w:bCs/>
        </w:rPr>
        <w:t>/сут;</w:t>
      </w:r>
    </w:p>
    <w:p w:rsidR="00A93772" w:rsidRPr="00657D28" w:rsidRDefault="00A93772" w:rsidP="00A93772">
      <w:pPr>
        <w:autoSpaceDE w:val="0"/>
        <w:autoSpaceDN w:val="0"/>
        <w:adjustRightInd w:val="0"/>
        <w:ind w:firstLine="284"/>
        <w:jc w:val="both"/>
        <w:rPr>
          <w:bCs/>
        </w:rPr>
      </w:pPr>
      <w:r w:rsidRPr="00657D28">
        <w:rPr>
          <w:bCs/>
        </w:rPr>
        <w:t>2.3. увеличение водопотребления и водоотведения (в случае реконструкции объекта) - 0,00 м</w:t>
      </w:r>
      <w:r w:rsidRPr="00657D28">
        <w:rPr>
          <w:bCs/>
          <w:vertAlign w:val="superscript"/>
        </w:rPr>
        <w:t>3</w:t>
      </w:r>
      <w:r w:rsidRPr="00657D28">
        <w:rPr>
          <w:bCs/>
        </w:rPr>
        <w:t>/сут;</w:t>
      </w:r>
    </w:p>
    <w:p w:rsidR="00A93772" w:rsidRPr="00657D28" w:rsidRDefault="00A93772" w:rsidP="00A93772">
      <w:pPr>
        <w:autoSpaceDE w:val="0"/>
        <w:autoSpaceDN w:val="0"/>
        <w:adjustRightInd w:val="0"/>
        <w:ind w:firstLine="284"/>
        <w:jc w:val="both"/>
        <w:rPr>
          <w:bCs/>
        </w:rPr>
      </w:pPr>
      <w:r w:rsidRPr="00657D28">
        <w:rPr>
          <w:bCs/>
        </w:rPr>
        <w:t>2.4. техническая возможность подключения к сетям водоснабжения и водоотведения имеется;</w:t>
      </w:r>
    </w:p>
    <w:p w:rsidR="00A93772" w:rsidRPr="00657D28" w:rsidRDefault="00A93772" w:rsidP="00A93772">
      <w:pPr>
        <w:autoSpaceDE w:val="0"/>
        <w:autoSpaceDN w:val="0"/>
        <w:adjustRightInd w:val="0"/>
        <w:ind w:firstLine="284"/>
        <w:jc w:val="both"/>
        <w:rPr>
          <w:bCs/>
        </w:rPr>
      </w:pPr>
      <w:r w:rsidRPr="00657D28">
        <w:rPr>
          <w:bCs/>
        </w:rPr>
        <w:t>2.5.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A93772" w:rsidRPr="00657D28" w:rsidRDefault="00A93772" w:rsidP="00A93772">
      <w:pPr>
        <w:autoSpaceDE w:val="0"/>
        <w:autoSpaceDN w:val="0"/>
        <w:adjustRightInd w:val="0"/>
        <w:ind w:firstLine="284"/>
        <w:jc w:val="both"/>
        <w:rPr>
          <w:bCs/>
        </w:rPr>
      </w:pPr>
      <w:r w:rsidRPr="00657D28">
        <w:rPr>
          <w:bCs/>
        </w:rPr>
        <w:lastRenderedPageBreak/>
        <w:t>2.6. технические условия представлены без учета реконструкции сетей;</w:t>
      </w:r>
    </w:p>
    <w:p w:rsidR="00A93772" w:rsidRPr="00657D28" w:rsidRDefault="00A93772" w:rsidP="00A93772">
      <w:pPr>
        <w:autoSpaceDE w:val="0"/>
        <w:autoSpaceDN w:val="0"/>
        <w:adjustRightInd w:val="0"/>
        <w:ind w:firstLine="284"/>
        <w:jc w:val="both"/>
        <w:rPr>
          <w:bCs/>
        </w:rPr>
      </w:pPr>
      <w:r w:rsidRPr="00657D28">
        <w:rPr>
          <w:bCs/>
        </w:rPr>
        <w:t>2.7. срок действия технических условий – 3 года;</w:t>
      </w:r>
    </w:p>
    <w:p w:rsidR="00A93772" w:rsidRPr="00657D28" w:rsidRDefault="00A93772" w:rsidP="00A93772">
      <w:pPr>
        <w:autoSpaceDE w:val="0"/>
        <w:autoSpaceDN w:val="0"/>
        <w:adjustRightInd w:val="0"/>
        <w:ind w:firstLine="284"/>
        <w:jc w:val="both"/>
        <w:rPr>
          <w:bCs/>
        </w:rPr>
      </w:pPr>
      <w:r w:rsidRPr="00657D28">
        <w:rPr>
          <w:bCs/>
        </w:rPr>
        <w:t>3. Технические условия подключения к сетям газораспределения:</w:t>
      </w:r>
    </w:p>
    <w:p w:rsidR="00A93772" w:rsidRPr="00657D28" w:rsidRDefault="00A93772" w:rsidP="00A93772">
      <w:pPr>
        <w:autoSpaceDE w:val="0"/>
        <w:autoSpaceDN w:val="0"/>
        <w:adjustRightInd w:val="0"/>
        <w:ind w:firstLine="284"/>
        <w:jc w:val="both"/>
        <w:rPr>
          <w:bCs/>
        </w:rPr>
      </w:pPr>
      <w:r w:rsidRPr="00657D28">
        <w:rPr>
          <w:bCs/>
        </w:rPr>
        <w:t>3.1. техническая возможность подключения отсутствует, так как в этом районе нет действующей газовой сети.</w:t>
      </w:r>
    </w:p>
    <w:p w:rsidR="00A93772" w:rsidRPr="00657D28" w:rsidRDefault="00A93772" w:rsidP="00A93772">
      <w:pPr>
        <w:tabs>
          <w:tab w:val="left" w:pos="-1134"/>
        </w:tabs>
        <w:ind w:firstLine="284"/>
        <w:jc w:val="both"/>
      </w:pPr>
    </w:p>
    <w:p w:rsidR="00A93772" w:rsidRPr="00657D28" w:rsidRDefault="00A93772" w:rsidP="00A93772">
      <w:pPr>
        <w:pStyle w:val="3"/>
        <w:tabs>
          <w:tab w:val="left" w:pos="90"/>
        </w:tabs>
        <w:ind w:firstLine="284"/>
        <w:rPr>
          <w:sz w:val="20"/>
        </w:rPr>
      </w:pPr>
      <w:r w:rsidRPr="00657D28">
        <w:rPr>
          <w:b/>
          <w:sz w:val="20"/>
        </w:rPr>
        <w:t>Лот № 2</w:t>
      </w:r>
      <w:r w:rsidRPr="00657D28">
        <w:rPr>
          <w:sz w:val="20"/>
        </w:rPr>
        <w:t>. Право заключения договора аренды земельного участка (категория земель – земли населенных пунктов) с кадастровым номером 59:03:1000001:176 площадью 2271 кв.м для проектно-изыскательских 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Срок аренды – 10 лет.</w:t>
      </w:r>
    </w:p>
    <w:p w:rsidR="00A93772" w:rsidRPr="00657D28" w:rsidRDefault="00A93772" w:rsidP="00A93772">
      <w:pPr>
        <w:pStyle w:val="2"/>
        <w:ind w:firstLine="284"/>
        <w:jc w:val="both"/>
        <w:rPr>
          <w:b/>
          <w:sz w:val="20"/>
        </w:rPr>
      </w:pPr>
      <w:r w:rsidRPr="00657D28">
        <w:rPr>
          <w:b/>
          <w:sz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уполномоченных органах.</w:t>
      </w:r>
    </w:p>
    <w:p w:rsidR="00A93772" w:rsidRPr="00657D28" w:rsidRDefault="00A93772" w:rsidP="00A93772">
      <w:pPr>
        <w:pStyle w:val="2"/>
        <w:tabs>
          <w:tab w:val="left" w:pos="90"/>
        </w:tabs>
        <w:ind w:firstLine="284"/>
        <w:jc w:val="both"/>
        <w:rPr>
          <w:b/>
          <w:sz w:val="20"/>
        </w:rPr>
      </w:pPr>
      <w:r w:rsidRPr="00657D28">
        <w:rPr>
          <w:b/>
          <w:sz w:val="20"/>
        </w:rPr>
        <w:t>Начальная цена предмета торгов: размер ежегодной арендной платы за землю – 250 000,00 рублей.</w:t>
      </w:r>
    </w:p>
    <w:p w:rsidR="00A93772" w:rsidRPr="00657D28" w:rsidRDefault="00A93772" w:rsidP="00A93772">
      <w:pPr>
        <w:tabs>
          <w:tab w:val="left" w:pos="90"/>
        </w:tabs>
        <w:ind w:firstLine="284"/>
        <w:jc w:val="both"/>
        <w:rPr>
          <w:b/>
        </w:rPr>
      </w:pPr>
      <w:r w:rsidRPr="00657D28">
        <w:rPr>
          <w:b/>
        </w:rPr>
        <w:t>Сумма задатка: 20 % от начальной цены предмета торгов – 50 000,00 руб.</w:t>
      </w:r>
    </w:p>
    <w:p w:rsidR="00A93772" w:rsidRPr="00657D28" w:rsidRDefault="00A93772" w:rsidP="00A93772">
      <w:pPr>
        <w:tabs>
          <w:tab w:val="num" w:pos="1128"/>
        </w:tabs>
        <w:ind w:firstLine="284"/>
        <w:jc w:val="both"/>
        <w:rPr>
          <w:b/>
        </w:rPr>
      </w:pPr>
      <w:r w:rsidRPr="00657D28">
        <w:rPr>
          <w:b/>
        </w:rPr>
        <w:t>Предельные параметры земельных участков и объектов к</w:t>
      </w:r>
      <w:r w:rsidRPr="00657D28">
        <w:rPr>
          <w:b/>
        </w:rPr>
        <w:t>а</w:t>
      </w:r>
      <w:r w:rsidRPr="00657D28">
        <w:rPr>
          <w:b/>
        </w:rPr>
        <w:t xml:space="preserve">питального строительства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728"/>
        <w:gridCol w:w="2232"/>
        <w:gridCol w:w="2160"/>
      </w:tblGrid>
      <w:tr w:rsidR="00A93772" w:rsidRPr="00657D28" w:rsidTr="00C60A64">
        <w:tc>
          <w:tcPr>
            <w:tcW w:w="828" w:type="dxa"/>
            <w:vMerge w:val="restart"/>
          </w:tcPr>
          <w:p w:rsidR="00A93772" w:rsidRPr="00657D28" w:rsidRDefault="00A93772" w:rsidP="00C60A64">
            <w:pPr>
              <w:pStyle w:val="ConsNormal"/>
              <w:widowControl/>
              <w:ind w:right="0" w:firstLine="0"/>
              <w:jc w:val="center"/>
              <w:rPr>
                <w:rFonts w:ascii="Times New Roman" w:hAnsi="Times New Roman" w:cs="Times New Roman"/>
              </w:rPr>
            </w:pPr>
            <w:r w:rsidRPr="00657D28">
              <w:rPr>
                <w:rFonts w:ascii="Times New Roman" w:hAnsi="Times New Roman" w:cs="Times New Roman"/>
              </w:rPr>
              <w:t>Код зоны</w:t>
            </w:r>
          </w:p>
        </w:tc>
        <w:tc>
          <w:tcPr>
            <w:tcW w:w="3960" w:type="dxa"/>
            <w:gridSpan w:val="2"/>
          </w:tcPr>
          <w:p w:rsidR="00A93772" w:rsidRPr="00657D28" w:rsidRDefault="00A93772" w:rsidP="00C60A64">
            <w:pPr>
              <w:pStyle w:val="ConsNormal"/>
              <w:widowControl/>
              <w:ind w:right="0" w:firstLine="0"/>
              <w:jc w:val="center"/>
              <w:rPr>
                <w:rFonts w:ascii="Times New Roman" w:hAnsi="Times New Roman" w:cs="Times New Roman"/>
              </w:rPr>
            </w:pPr>
            <w:r w:rsidRPr="00657D28">
              <w:rPr>
                <w:rFonts w:ascii="Times New Roman" w:hAnsi="Times New Roman" w:cs="Times New Roman"/>
              </w:rPr>
              <w:t>Площадь, кв.м</w:t>
            </w:r>
          </w:p>
        </w:tc>
        <w:tc>
          <w:tcPr>
            <w:tcW w:w="2160" w:type="dxa"/>
            <w:vMerge w:val="restart"/>
          </w:tcPr>
          <w:p w:rsidR="00A93772" w:rsidRPr="00657D28" w:rsidRDefault="00A93772" w:rsidP="00C60A64">
            <w:pPr>
              <w:pStyle w:val="ConsNormal"/>
              <w:widowControl/>
              <w:ind w:right="0" w:firstLine="0"/>
              <w:jc w:val="center"/>
              <w:rPr>
                <w:rFonts w:ascii="Times New Roman" w:hAnsi="Times New Roman" w:cs="Times New Roman"/>
              </w:rPr>
            </w:pPr>
            <w:r w:rsidRPr="00657D28">
              <w:rPr>
                <w:rFonts w:ascii="Times New Roman" w:hAnsi="Times New Roman" w:cs="Times New Roman"/>
              </w:rPr>
              <w:t xml:space="preserve">Процент </w:t>
            </w:r>
          </w:p>
          <w:p w:rsidR="00A93772" w:rsidRPr="00657D28" w:rsidRDefault="00A93772" w:rsidP="00C60A64">
            <w:pPr>
              <w:pStyle w:val="ConsNormal"/>
              <w:widowControl/>
              <w:ind w:right="0" w:firstLine="0"/>
              <w:jc w:val="center"/>
              <w:rPr>
                <w:rFonts w:ascii="Times New Roman" w:hAnsi="Times New Roman" w:cs="Times New Roman"/>
              </w:rPr>
            </w:pPr>
            <w:r w:rsidRPr="00657D28">
              <w:rPr>
                <w:rFonts w:ascii="Times New Roman" w:hAnsi="Times New Roman" w:cs="Times New Roman"/>
              </w:rPr>
              <w:t>з</w:t>
            </w:r>
            <w:r w:rsidRPr="00657D28">
              <w:rPr>
                <w:rFonts w:ascii="Times New Roman" w:hAnsi="Times New Roman" w:cs="Times New Roman"/>
              </w:rPr>
              <w:t>а</w:t>
            </w:r>
            <w:r w:rsidRPr="00657D28">
              <w:rPr>
                <w:rFonts w:ascii="Times New Roman" w:hAnsi="Times New Roman" w:cs="Times New Roman"/>
              </w:rPr>
              <w:t>стройки, %</w:t>
            </w:r>
          </w:p>
        </w:tc>
      </w:tr>
      <w:tr w:rsidR="00A93772" w:rsidRPr="00657D28" w:rsidTr="00C60A64">
        <w:tc>
          <w:tcPr>
            <w:tcW w:w="828" w:type="dxa"/>
            <w:vMerge/>
          </w:tcPr>
          <w:p w:rsidR="00A93772" w:rsidRPr="00657D28" w:rsidRDefault="00A93772" w:rsidP="00C60A64">
            <w:pPr>
              <w:pStyle w:val="ConsNormal"/>
              <w:widowControl/>
              <w:ind w:right="0" w:firstLine="0"/>
              <w:jc w:val="center"/>
              <w:rPr>
                <w:rFonts w:ascii="Times New Roman" w:hAnsi="Times New Roman" w:cs="Times New Roman"/>
              </w:rPr>
            </w:pPr>
          </w:p>
        </w:tc>
        <w:tc>
          <w:tcPr>
            <w:tcW w:w="1728" w:type="dxa"/>
          </w:tcPr>
          <w:p w:rsidR="00A93772" w:rsidRPr="00657D28" w:rsidRDefault="00A93772" w:rsidP="00C60A64">
            <w:pPr>
              <w:pStyle w:val="ConsNormal"/>
              <w:widowControl/>
              <w:ind w:right="0" w:firstLine="0"/>
              <w:jc w:val="center"/>
              <w:rPr>
                <w:rFonts w:ascii="Times New Roman" w:hAnsi="Times New Roman" w:cs="Times New Roman"/>
              </w:rPr>
            </w:pPr>
            <w:r w:rsidRPr="00657D28">
              <w:rPr>
                <w:rFonts w:ascii="Times New Roman" w:hAnsi="Times New Roman" w:cs="Times New Roman"/>
              </w:rPr>
              <w:t>минимальная</w:t>
            </w:r>
          </w:p>
        </w:tc>
        <w:tc>
          <w:tcPr>
            <w:tcW w:w="2232" w:type="dxa"/>
          </w:tcPr>
          <w:p w:rsidR="00A93772" w:rsidRPr="00657D28" w:rsidRDefault="00A93772" w:rsidP="00C60A64">
            <w:pPr>
              <w:pStyle w:val="ConsNormal"/>
              <w:widowControl/>
              <w:ind w:right="0" w:firstLine="0"/>
              <w:jc w:val="center"/>
              <w:rPr>
                <w:rFonts w:ascii="Times New Roman" w:hAnsi="Times New Roman" w:cs="Times New Roman"/>
              </w:rPr>
            </w:pPr>
            <w:r w:rsidRPr="00657D28">
              <w:rPr>
                <w:rFonts w:ascii="Times New Roman" w:hAnsi="Times New Roman" w:cs="Times New Roman"/>
              </w:rPr>
              <w:t>максимальная</w:t>
            </w:r>
          </w:p>
        </w:tc>
        <w:tc>
          <w:tcPr>
            <w:tcW w:w="2160" w:type="dxa"/>
            <w:vMerge/>
          </w:tcPr>
          <w:p w:rsidR="00A93772" w:rsidRPr="00657D28" w:rsidRDefault="00A93772" w:rsidP="00C60A64">
            <w:pPr>
              <w:pStyle w:val="ConsNormal"/>
              <w:widowControl/>
              <w:ind w:right="0" w:firstLine="0"/>
              <w:jc w:val="center"/>
              <w:rPr>
                <w:rFonts w:ascii="Times New Roman" w:hAnsi="Times New Roman" w:cs="Times New Roman"/>
              </w:rPr>
            </w:pPr>
          </w:p>
        </w:tc>
      </w:tr>
      <w:tr w:rsidR="00A93772" w:rsidRPr="00657D28" w:rsidTr="00C60A64">
        <w:tc>
          <w:tcPr>
            <w:tcW w:w="828" w:type="dxa"/>
          </w:tcPr>
          <w:p w:rsidR="00A93772" w:rsidRPr="00657D28" w:rsidRDefault="00A93772" w:rsidP="00C60A64">
            <w:pPr>
              <w:pStyle w:val="ConsNormal"/>
              <w:widowControl/>
              <w:ind w:right="0" w:firstLine="0"/>
              <w:jc w:val="both"/>
              <w:rPr>
                <w:rFonts w:ascii="Times New Roman" w:hAnsi="Times New Roman" w:cs="Times New Roman"/>
              </w:rPr>
            </w:pPr>
            <w:r w:rsidRPr="00657D28">
              <w:rPr>
                <w:rFonts w:ascii="Times New Roman" w:hAnsi="Times New Roman" w:cs="Times New Roman"/>
              </w:rPr>
              <w:t>О-2</w:t>
            </w:r>
          </w:p>
        </w:tc>
        <w:tc>
          <w:tcPr>
            <w:tcW w:w="1728" w:type="dxa"/>
          </w:tcPr>
          <w:p w:rsidR="00A93772" w:rsidRPr="00657D28" w:rsidRDefault="00A93772" w:rsidP="00C60A64">
            <w:pPr>
              <w:pStyle w:val="ConsNormal"/>
              <w:widowControl/>
              <w:ind w:right="0" w:firstLine="0"/>
              <w:jc w:val="both"/>
              <w:rPr>
                <w:rFonts w:ascii="Times New Roman" w:hAnsi="Times New Roman" w:cs="Times New Roman"/>
              </w:rPr>
            </w:pPr>
            <w:r w:rsidRPr="00657D28">
              <w:rPr>
                <w:rFonts w:ascii="Times New Roman" w:hAnsi="Times New Roman" w:cs="Times New Roman"/>
              </w:rPr>
              <w:t>-</w:t>
            </w:r>
          </w:p>
        </w:tc>
        <w:tc>
          <w:tcPr>
            <w:tcW w:w="2232" w:type="dxa"/>
          </w:tcPr>
          <w:p w:rsidR="00A93772" w:rsidRPr="00657D28" w:rsidRDefault="00A93772" w:rsidP="00C60A64">
            <w:pPr>
              <w:pStyle w:val="ConsNormal"/>
              <w:widowControl/>
              <w:ind w:right="0" w:firstLine="0"/>
              <w:jc w:val="both"/>
              <w:rPr>
                <w:rFonts w:ascii="Times New Roman" w:hAnsi="Times New Roman" w:cs="Times New Roman"/>
              </w:rPr>
            </w:pPr>
            <w:r w:rsidRPr="00657D28">
              <w:rPr>
                <w:rFonts w:ascii="Times New Roman" w:hAnsi="Times New Roman" w:cs="Times New Roman"/>
              </w:rPr>
              <w:t>-</w:t>
            </w:r>
          </w:p>
        </w:tc>
        <w:tc>
          <w:tcPr>
            <w:tcW w:w="2160" w:type="dxa"/>
          </w:tcPr>
          <w:p w:rsidR="00A93772" w:rsidRPr="00657D28" w:rsidRDefault="00A93772" w:rsidP="00C60A64">
            <w:pPr>
              <w:pStyle w:val="ConsNormal"/>
              <w:widowControl/>
              <w:ind w:right="0" w:firstLine="0"/>
              <w:jc w:val="both"/>
              <w:rPr>
                <w:rFonts w:ascii="Times New Roman" w:hAnsi="Times New Roman" w:cs="Times New Roman"/>
              </w:rPr>
            </w:pPr>
            <w:r w:rsidRPr="00657D28">
              <w:rPr>
                <w:rFonts w:ascii="Times New Roman" w:hAnsi="Times New Roman" w:cs="Times New Roman"/>
              </w:rPr>
              <w:t>70</w:t>
            </w:r>
          </w:p>
        </w:tc>
      </w:tr>
    </w:tbl>
    <w:p w:rsidR="00A93772" w:rsidRPr="00657D28" w:rsidRDefault="00A93772" w:rsidP="00A93772">
      <w:pPr>
        <w:autoSpaceDE w:val="0"/>
        <w:autoSpaceDN w:val="0"/>
        <w:adjustRightInd w:val="0"/>
        <w:ind w:firstLine="284"/>
        <w:jc w:val="both"/>
        <w:rPr>
          <w:b/>
          <w:bCs/>
        </w:rPr>
      </w:pPr>
      <w:r w:rsidRPr="00657D28">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93772" w:rsidRPr="00657D28" w:rsidRDefault="00A93772" w:rsidP="00A93772">
      <w:pPr>
        <w:autoSpaceDE w:val="0"/>
        <w:autoSpaceDN w:val="0"/>
        <w:adjustRightInd w:val="0"/>
        <w:ind w:firstLine="284"/>
        <w:jc w:val="both"/>
        <w:rPr>
          <w:bCs/>
        </w:rPr>
      </w:pPr>
      <w:r w:rsidRPr="00657D28">
        <w:rPr>
          <w:bCs/>
        </w:rPr>
        <w:t>1. Технические условия подключения к тепловым сетям:</w:t>
      </w:r>
    </w:p>
    <w:p w:rsidR="00A93772" w:rsidRPr="00657D28" w:rsidRDefault="00A93772" w:rsidP="00A93772">
      <w:pPr>
        <w:autoSpaceDE w:val="0"/>
        <w:autoSpaceDN w:val="0"/>
        <w:adjustRightInd w:val="0"/>
        <w:ind w:firstLine="284"/>
        <w:jc w:val="both"/>
        <w:rPr>
          <w:bCs/>
        </w:rPr>
      </w:pPr>
      <w:r w:rsidRPr="00657D28">
        <w:rPr>
          <w:bCs/>
        </w:rPr>
        <w:t>1.1. источник теплоснабжения: Правобережная котельная;</w:t>
      </w:r>
    </w:p>
    <w:p w:rsidR="00A93772" w:rsidRPr="00657D28" w:rsidRDefault="00A93772" w:rsidP="00A93772">
      <w:pPr>
        <w:autoSpaceDE w:val="0"/>
        <w:autoSpaceDN w:val="0"/>
        <w:adjustRightInd w:val="0"/>
        <w:ind w:firstLine="284"/>
        <w:jc w:val="both"/>
        <w:rPr>
          <w:bCs/>
        </w:rPr>
      </w:pPr>
      <w:r w:rsidRPr="00657D28">
        <w:rPr>
          <w:bCs/>
        </w:rPr>
        <w:t>1.2. возможные точки подключения к тепловым сетям: на границе земельного участка подключаемого объекта;</w:t>
      </w:r>
    </w:p>
    <w:p w:rsidR="00A93772" w:rsidRPr="00657D28" w:rsidRDefault="00A93772" w:rsidP="00A93772">
      <w:pPr>
        <w:autoSpaceDE w:val="0"/>
        <w:autoSpaceDN w:val="0"/>
        <w:adjustRightInd w:val="0"/>
        <w:ind w:firstLine="284"/>
        <w:jc w:val="both"/>
        <w:rPr>
          <w:bCs/>
        </w:rPr>
      </w:pPr>
      <w:r w:rsidRPr="00657D28">
        <w:rPr>
          <w:bCs/>
        </w:rPr>
        <w:t xml:space="preserve">1.3. размер предполагаемой нагрузки ресурса в возможных точках подключения: </w:t>
      </w:r>
      <w:r w:rsidRPr="00657D28">
        <w:rPr>
          <w:bCs/>
          <w:lang w:val="en-US"/>
        </w:rPr>
        <w:t>Qmax</w:t>
      </w:r>
      <w:r w:rsidRPr="00657D28">
        <w:rPr>
          <w:bCs/>
        </w:rPr>
        <w:t xml:space="preserve"> – 0,285 Гкал/час; </w:t>
      </w:r>
    </w:p>
    <w:p w:rsidR="00A93772" w:rsidRPr="00657D28" w:rsidRDefault="00A93772" w:rsidP="00A93772">
      <w:pPr>
        <w:autoSpaceDE w:val="0"/>
        <w:autoSpaceDN w:val="0"/>
        <w:adjustRightInd w:val="0"/>
        <w:ind w:firstLine="284"/>
        <w:jc w:val="both"/>
        <w:rPr>
          <w:bCs/>
        </w:rPr>
      </w:pPr>
      <w:r w:rsidRPr="00657D28">
        <w:rPr>
          <w:bCs/>
        </w:rPr>
        <w:t>1.4. информация о подключении:</w:t>
      </w:r>
    </w:p>
    <w:p w:rsidR="00A93772" w:rsidRPr="00657D28" w:rsidRDefault="00A93772" w:rsidP="00A93772">
      <w:pPr>
        <w:autoSpaceDE w:val="0"/>
        <w:autoSpaceDN w:val="0"/>
        <w:adjustRightInd w:val="0"/>
        <w:ind w:firstLine="284"/>
        <w:jc w:val="both"/>
        <w:rPr>
          <w:bCs/>
        </w:rPr>
      </w:pPr>
      <w:r w:rsidRPr="00657D28">
        <w:rPr>
          <w:bCs/>
        </w:rPr>
        <w:t>- нормативный срок подключения: в соответствии с п. 31 Постановления Правительства РФ от 16.04.2012 № 307;</w:t>
      </w:r>
    </w:p>
    <w:p w:rsidR="00A93772" w:rsidRPr="00657D28" w:rsidRDefault="00A93772" w:rsidP="00A93772">
      <w:pPr>
        <w:autoSpaceDE w:val="0"/>
        <w:autoSpaceDN w:val="0"/>
        <w:adjustRightInd w:val="0"/>
        <w:ind w:firstLine="284"/>
        <w:jc w:val="both"/>
        <w:rPr>
          <w:bCs/>
        </w:rPr>
      </w:pPr>
      <w:r w:rsidRPr="00657D28">
        <w:rPr>
          <w:bCs/>
        </w:rPr>
        <w:t>- информация о порядке определения размера платы за подключение: тариф, установленный РСТ;</w:t>
      </w:r>
    </w:p>
    <w:p w:rsidR="00A93772" w:rsidRPr="00657D28" w:rsidRDefault="00A93772" w:rsidP="00A93772">
      <w:pPr>
        <w:autoSpaceDE w:val="0"/>
        <w:autoSpaceDN w:val="0"/>
        <w:adjustRightInd w:val="0"/>
        <w:ind w:firstLine="284"/>
        <w:jc w:val="both"/>
        <w:rPr>
          <w:bCs/>
        </w:rPr>
      </w:pPr>
      <w:r w:rsidRPr="00657D28">
        <w:rPr>
          <w:bCs/>
        </w:rPr>
        <w:t>- иная необходимая информация: отсутствие технической возможности, необходимо проведение мероприятий по строительству тепловой сети от существующей магистральной тепловой сети 2Ду 400 до точки подключения (Т1);</w:t>
      </w:r>
    </w:p>
    <w:p w:rsidR="00A93772" w:rsidRPr="00657D28" w:rsidRDefault="00A93772" w:rsidP="00A93772">
      <w:pPr>
        <w:autoSpaceDE w:val="0"/>
        <w:autoSpaceDN w:val="0"/>
        <w:adjustRightInd w:val="0"/>
        <w:ind w:firstLine="284"/>
        <w:jc w:val="both"/>
        <w:rPr>
          <w:bCs/>
        </w:rPr>
      </w:pPr>
      <w:r w:rsidRPr="00657D28">
        <w:rPr>
          <w:bCs/>
        </w:rPr>
        <w:t>1.5. срок действия технических условий – до 24.09.2018;</w:t>
      </w:r>
    </w:p>
    <w:p w:rsidR="00A93772" w:rsidRPr="00657D28" w:rsidRDefault="00A93772" w:rsidP="00A93772">
      <w:pPr>
        <w:autoSpaceDE w:val="0"/>
        <w:autoSpaceDN w:val="0"/>
        <w:adjustRightInd w:val="0"/>
        <w:ind w:firstLine="284"/>
        <w:jc w:val="both"/>
        <w:rPr>
          <w:bCs/>
        </w:rPr>
      </w:pPr>
      <w:r w:rsidRPr="00657D28">
        <w:rPr>
          <w:bCs/>
        </w:rPr>
        <w:t>1.6. отсутствие технической возможности не препятствует обращению заявителя с заявкой на подключение к системе теплоснабжения и последующему инициированию Энергоснабжающей организацией обращения в уполномоченные органы за снятием ограничений по подключению к системе теплоснабжения путем внесения изменений в утвержденную (подлежащую утверждению) схему теплоснабжения и инвестиционную программу Энергоснабжающей организации в порядке, предусмотренном статьей 14 Федерального закона от 27.07.2010 № 190-ФЗ «О теплоснабжении»;</w:t>
      </w:r>
    </w:p>
    <w:p w:rsidR="00A93772" w:rsidRPr="00657D28" w:rsidRDefault="00A93772" w:rsidP="00A93772">
      <w:pPr>
        <w:autoSpaceDE w:val="0"/>
        <w:autoSpaceDN w:val="0"/>
        <w:adjustRightInd w:val="0"/>
        <w:ind w:firstLine="284"/>
        <w:jc w:val="both"/>
        <w:rPr>
          <w:bCs/>
        </w:rPr>
      </w:pPr>
      <w:r w:rsidRPr="00657D28">
        <w:rPr>
          <w:bCs/>
        </w:rPr>
        <w:t>2. Технические условия подключения к сетям водоснабжения и водоотведения:</w:t>
      </w:r>
    </w:p>
    <w:p w:rsidR="00A93772" w:rsidRPr="00657D28" w:rsidRDefault="00A93772" w:rsidP="00A93772">
      <w:pPr>
        <w:autoSpaceDE w:val="0"/>
        <w:autoSpaceDN w:val="0"/>
        <w:adjustRightInd w:val="0"/>
        <w:ind w:firstLine="284"/>
        <w:jc w:val="both"/>
        <w:rPr>
          <w:bCs/>
        </w:rPr>
      </w:pPr>
      <w:r w:rsidRPr="00657D28">
        <w:rPr>
          <w:bCs/>
        </w:rPr>
        <w:t>2.1. максимальное планируемое водопотребление в возможных точках подключения – определяется расчетом при проектировании;</w:t>
      </w:r>
    </w:p>
    <w:p w:rsidR="00A93772" w:rsidRPr="00657D28" w:rsidRDefault="00A93772" w:rsidP="00A93772">
      <w:pPr>
        <w:autoSpaceDE w:val="0"/>
        <w:autoSpaceDN w:val="0"/>
        <w:adjustRightInd w:val="0"/>
        <w:ind w:firstLine="284"/>
        <w:jc w:val="both"/>
        <w:rPr>
          <w:bCs/>
        </w:rPr>
      </w:pPr>
      <w:r w:rsidRPr="00657D28">
        <w:rPr>
          <w:bCs/>
        </w:rPr>
        <w:t>2.2. предельно свободная мощность – 5100 м</w:t>
      </w:r>
      <w:r w:rsidRPr="00657D28">
        <w:rPr>
          <w:bCs/>
          <w:vertAlign w:val="superscript"/>
        </w:rPr>
        <w:t>3</w:t>
      </w:r>
      <w:r w:rsidRPr="00657D28">
        <w:rPr>
          <w:bCs/>
        </w:rPr>
        <w:t>/сут;</w:t>
      </w:r>
    </w:p>
    <w:p w:rsidR="00A93772" w:rsidRPr="00657D28" w:rsidRDefault="00A93772" w:rsidP="00A93772">
      <w:pPr>
        <w:autoSpaceDE w:val="0"/>
        <w:autoSpaceDN w:val="0"/>
        <w:adjustRightInd w:val="0"/>
        <w:ind w:firstLine="284"/>
        <w:jc w:val="both"/>
        <w:rPr>
          <w:bCs/>
        </w:rPr>
      </w:pPr>
      <w:r w:rsidRPr="00657D28">
        <w:rPr>
          <w:bCs/>
        </w:rPr>
        <w:t>2.3. максимальное планируемое водоотведение в возможных точках подключения – определяется расчетом при проектировании;</w:t>
      </w:r>
    </w:p>
    <w:p w:rsidR="00A93772" w:rsidRPr="00657D28" w:rsidRDefault="00A93772" w:rsidP="00A93772">
      <w:pPr>
        <w:autoSpaceDE w:val="0"/>
        <w:autoSpaceDN w:val="0"/>
        <w:adjustRightInd w:val="0"/>
        <w:ind w:firstLine="284"/>
        <w:jc w:val="both"/>
        <w:rPr>
          <w:bCs/>
        </w:rPr>
      </w:pPr>
      <w:r w:rsidRPr="00657D28">
        <w:rPr>
          <w:bCs/>
        </w:rPr>
        <w:t>2.4. увеличение водопотребления и водоотведения (в случае реконструкции объекта) - 0,00 м</w:t>
      </w:r>
      <w:r w:rsidRPr="00657D28">
        <w:rPr>
          <w:bCs/>
          <w:vertAlign w:val="superscript"/>
        </w:rPr>
        <w:t>3</w:t>
      </w:r>
      <w:r w:rsidRPr="00657D28">
        <w:rPr>
          <w:bCs/>
        </w:rPr>
        <w:t>/сут;</w:t>
      </w:r>
    </w:p>
    <w:p w:rsidR="00A93772" w:rsidRPr="00657D28" w:rsidRDefault="00A93772" w:rsidP="00A93772">
      <w:pPr>
        <w:autoSpaceDE w:val="0"/>
        <w:autoSpaceDN w:val="0"/>
        <w:adjustRightInd w:val="0"/>
        <w:ind w:firstLine="284"/>
        <w:jc w:val="both"/>
        <w:rPr>
          <w:bCs/>
        </w:rPr>
      </w:pPr>
      <w:r w:rsidRPr="00657D28">
        <w:rPr>
          <w:bCs/>
        </w:rPr>
        <w:t>2.5. технической возможности подключения к сетям водоснабжения и водоотведения имеется;</w:t>
      </w:r>
    </w:p>
    <w:p w:rsidR="00A93772" w:rsidRPr="00657D28" w:rsidRDefault="00A93772" w:rsidP="00A93772">
      <w:pPr>
        <w:autoSpaceDE w:val="0"/>
        <w:autoSpaceDN w:val="0"/>
        <w:adjustRightInd w:val="0"/>
        <w:ind w:firstLine="284"/>
        <w:jc w:val="both"/>
        <w:rPr>
          <w:bCs/>
        </w:rPr>
      </w:pPr>
      <w:r w:rsidRPr="00657D28">
        <w:rPr>
          <w:bCs/>
        </w:rPr>
        <w:t>2.6.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A93772" w:rsidRPr="00657D28" w:rsidRDefault="00A93772" w:rsidP="00A93772">
      <w:pPr>
        <w:autoSpaceDE w:val="0"/>
        <w:autoSpaceDN w:val="0"/>
        <w:adjustRightInd w:val="0"/>
        <w:ind w:firstLine="284"/>
        <w:jc w:val="both"/>
        <w:rPr>
          <w:bCs/>
        </w:rPr>
      </w:pPr>
      <w:r w:rsidRPr="00657D28">
        <w:rPr>
          <w:bCs/>
        </w:rPr>
        <w:t>2.7. технические условия представлены без учета реконструкции сетей;</w:t>
      </w:r>
    </w:p>
    <w:p w:rsidR="00A93772" w:rsidRPr="00657D28" w:rsidRDefault="00A93772" w:rsidP="00A93772">
      <w:pPr>
        <w:autoSpaceDE w:val="0"/>
        <w:autoSpaceDN w:val="0"/>
        <w:adjustRightInd w:val="0"/>
        <w:ind w:firstLine="284"/>
        <w:jc w:val="both"/>
        <w:rPr>
          <w:bCs/>
        </w:rPr>
      </w:pPr>
      <w:r w:rsidRPr="00657D28">
        <w:rPr>
          <w:bCs/>
        </w:rPr>
        <w:t>2.8. срок действия технических условий – 3 года;</w:t>
      </w:r>
    </w:p>
    <w:p w:rsidR="00A93772" w:rsidRPr="00657D28" w:rsidRDefault="00A93772" w:rsidP="00A93772">
      <w:pPr>
        <w:autoSpaceDE w:val="0"/>
        <w:autoSpaceDN w:val="0"/>
        <w:adjustRightInd w:val="0"/>
        <w:ind w:firstLine="284"/>
        <w:jc w:val="both"/>
        <w:rPr>
          <w:bCs/>
        </w:rPr>
      </w:pPr>
      <w:r w:rsidRPr="00657D28">
        <w:rPr>
          <w:bCs/>
        </w:rPr>
        <w:t>3. Технические условия подключения к сетям газораспределения:</w:t>
      </w:r>
    </w:p>
    <w:p w:rsidR="00A93772" w:rsidRPr="00657D28" w:rsidRDefault="00A93772" w:rsidP="00A93772">
      <w:pPr>
        <w:autoSpaceDE w:val="0"/>
        <w:autoSpaceDN w:val="0"/>
        <w:adjustRightInd w:val="0"/>
        <w:ind w:firstLine="284"/>
        <w:jc w:val="both"/>
        <w:rPr>
          <w:bCs/>
        </w:rPr>
      </w:pPr>
      <w:r w:rsidRPr="00657D28">
        <w:rPr>
          <w:bCs/>
        </w:rPr>
        <w:t>3.1. техническая возможность подключения объектов отсутствует, так как исчерпана пропускная возможность действующей ГРС в с. Пыскор.</w:t>
      </w:r>
    </w:p>
    <w:p w:rsidR="00A93772" w:rsidRDefault="00A93772" w:rsidP="00A93772">
      <w:pPr>
        <w:tabs>
          <w:tab w:val="left" w:pos="-1134"/>
        </w:tabs>
        <w:ind w:firstLine="284"/>
        <w:jc w:val="both"/>
        <w:rPr>
          <w:highlight w:val="lightGray"/>
        </w:rPr>
      </w:pPr>
    </w:p>
    <w:p w:rsidR="00A93772" w:rsidRPr="00EA3BB8" w:rsidRDefault="00A93772" w:rsidP="00A93772">
      <w:pPr>
        <w:pStyle w:val="3"/>
        <w:tabs>
          <w:tab w:val="left" w:pos="90"/>
        </w:tabs>
        <w:ind w:firstLine="284"/>
        <w:rPr>
          <w:sz w:val="20"/>
        </w:rPr>
      </w:pPr>
      <w:r w:rsidRPr="00EA3BB8">
        <w:rPr>
          <w:b/>
          <w:bCs/>
          <w:sz w:val="20"/>
        </w:rPr>
        <w:t xml:space="preserve">Лот № </w:t>
      </w:r>
      <w:r>
        <w:rPr>
          <w:b/>
          <w:bCs/>
          <w:sz w:val="20"/>
        </w:rPr>
        <w:t>3</w:t>
      </w:r>
      <w:r w:rsidRPr="00EA3BB8">
        <w:rPr>
          <w:bCs/>
          <w:sz w:val="20"/>
        </w:rPr>
        <w:t xml:space="preserve">. </w:t>
      </w:r>
      <w:r w:rsidRPr="00EA3BB8">
        <w:rPr>
          <w:sz w:val="20"/>
        </w:rPr>
        <w:t xml:space="preserve">Право заключения договора аренды земельного участка (категория земель – земли населенных пунктов) с кадастровым номером 59:03:0200009:184 площадью 3300 кв.м для проектно-изыскательских работ и строительства в соответствии с основными видами разрешенного использования для зоны производственно-коммунальных объектов </w:t>
      </w:r>
      <w:r w:rsidRPr="00EA3BB8">
        <w:rPr>
          <w:sz w:val="20"/>
          <w:lang w:val="en-US"/>
        </w:rPr>
        <w:t>IV</w:t>
      </w:r>
      <w:r w:rsidRPr="00EA3BB8">
        <w:rPr>
          <w:sz w:val="20"/>
        </w:rPr>
        <w:t xml:space="preserve"> класса (П-4) в районе пересечения ул. Березниковская и пр. Советский. Срок аренды – 10 лет.</w:t>
      </w:r>
    </w:p>
    <w:p w:rsidR="00A93772" w:rsidRPr="00EA3BB8" w:rsidRDefault="00A93772" w:rsidP="00A93772">
      <w:pPr>
        <w:pStyle w:val="2"/>
        <w:ind w:firstLine="284"/>
        <w:jc w:val="both"/>
        <w:rPr>
          <w:b/>
          <w:sz w:val="20"/>
        </w:rPr>
      </w:pPr>
      <w:r w:rsidRPr="00EA3BB8">
        <w:rPr>
          <w:b/>
          <w:sz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уполномоченных органах.</w:t>
      </w:r>
    </w:p>
    <w:p w:rsidR="00A93772" w:rsidRPr="00EA3BB8" w:rsidRDefault="00A93772" w:rsidP="00A93772">
      <w:pPr>
        <w:pStyle w:val="2"/>
        <w:tabs>
          <w:tab w:val="left" w:pos="90"/>
        </w:tabs>
        <w:ind w:firstLine="284"/>
        <w:jc w:val="both"/>
        <w:rPr>
          <w:b/>
          <w:sz w:val="20"/>
        </w:rPr>
      </w:pPr>
      <w:r w:rsidRPr="00EA3BB8">
        <w:rPr>
          <w:b/>
          <w:sz w:val="20"/>
        </w:rPr>
        <w:t>Начальная цена предмета торгов: размер ежегодной арендной платы за землю – 500 000,00 рублей.</w:t>
      </w:r>
    </w:p>
    <w:p w:rsidR="00A93772" w:rsidRPr="00EA3BB8" w:rsidRDefault="00A93772" w:rsidP="00A93772">
      <w:pPr>
        <w:tabs>
          <w:tab w:val="left" w:pos="90"/>
        </w:tabs>
        <w:ind w:firstLine="284"/>
        <w:jc w:val="both"/>
        <w:rPr>
          <w:b/>
        </w:rPr>
      </w:pPr>
      <w:r w:rsidRPr="00EA3BB8">
        <w:rPr>
          <w:b/>
        </w:rPr>
        <w:t>Сумма задатка: 20 % от начальной цены предмета торгов – 100 000,00 руб.</w:t>
      </w:r>
    </w:p>
    <w:p w:rsidR="00A93772" w:rsidRPr="00EA3BB8" w:rsidRDefault="00A93772" w:rsidP="00A93772">
      <w:pPr>
        <w:tabs>
          <w:tab w:val="num" w:pos="1128"/>
        </w:tabs>
        <w:ind w:firstLine="284"/>
        <w:jc w:val="both"/>
        <w:rPr>
          <w:b/>
        </w:rPr>
      </w:pPr>
      <w:r w:rsidRPr="00EA3BB8">
        <w:rPr>
          <w:b/>
        </w:rPr>
        <w:t>Предельные параметры земельных участков и объектов к</w:t>
      </w:r>
      <w:r w:rsidRPr="00EA3BB8">
        <w:rPr>
          <w:b/>
        </w:rPr>
        <w:t>а</w:t>
      </w:r>
      <w:r w:rsidRPr="00EA3BB8">
        <w:rPr>
          <w:b/>
        </w:rPr>
        <w:t xml:space="preserve">питального строительства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728"/>
        <w:gridCol w:w="2232"/>
        <w:gridCol w:w="2160"/>
      </w:tblGrid>
      <w:tr w:rsidR="00A93772" w:rsidRPr="00EA3BB8" w:rsidTr="00C60A64">
        <w:tc>
          <w:tcPr>
            <w:tcW w:w="828" w:type="dxa"/>
            <w:vMerge w:val="restart"/>
          </w:tcPr>
          <w:p w:rsidR="00A93772" w:rsidRPr="00EA3BB8" w:rsidRDefault="00A93772" w:rsidP="00C60A64">
            <w:pPr>
              <w:pStyle w:val="ConsNormal"/>
              <w:widowControl/>
              <w:ind w:right="0" w:firstLine="0"/>
              <w:jc w:val="center"/>
              <w:rPr>
                <w:rFonts w:ascii="Times New Roman" w:hAnsi="Times New Roman" w:cs="Times New Roman"/>
              </w:rPr>
            </w:pPr>
            <w:r w:rsidRPr="00EA3BB8">
              <w:rPr>
                <w:rFonts w:ascii="Times New Roman" w:hAnsi="Times New Roman" w:cs="Times New Roman"/>
              </w:rPr>
              <w:t>Код зоны</w:t>
            </w:r>
          </w:p>
        </w:tc>
        <w:tc>
          <w:tcPr>
            <w:tcW w:w="3960" w:type="dxa"/>
            <w:gridSpan w:val="2"/>
          </w:tcPr>
          <w:p w:rsidR="00A93772" w:rsidRPr="00EA3BB8" w:rsidRDefault="00A93772" w:rsidP="00C60A64">
            <w:pPr>
              <w:pStyle w:val="ConsNormal"/>
              <w:widowControl/>
              <w:ind w:right="0" w:firstLine="0"/>
              <w:jc w:val="center"/>
              <w:rPr>
                <w:rFonts w:ascii="Times New Roman" w:hAnsi="Times New Roman" w:cs="Times New Roman"/>
              </w:rPr>
            </w:pPr>
            <w:r w:rsidRPr="00EA3BB8">
              <w:rPr>
                <w:rFonts w:ascii="Times New Roman" w:hAnsi="Times New Roman" w:cs="Times New Roman"/>
              </w:rPr>
              <w:t>Площадь, кв.м</w:t>
            </w:r>
          </w:p>
        </w:tc>
        <w:tc>
          <w:tcPr>
            <w:tcW w:w="2160" w:type="dxa"/>
            <w:vMerge w:val="restart"/>
          </w:tcPr>
          <w:p w:rsidR="00A93772" w:rsidRPr="00EA3BB8" w:rsidRDefault="00A93772" w:rsidP="00C60A64">
            <w:pPr>
              <w:pStyle w:val="ConsNormal"/>
              <w:widowControl/>
              <w:ind w:right="0" w:firstLine="0"/>
              <w:jc w:val="center"/>
              <w:rPr>
                <w:rFonts w:ascii="Times New Roman" w:hAnsi="Times New Roman" w:cs="Times New Roman"/>
              </w:rPr>
            </w:pPr>
            <w:r w:rsidRPr="00EA3BB8">
              <w:rPr>
                <w:rFonts w:ascii="Times New Roman" w:hAnsi="Times New Roman" w:cs="Times New Roman"/>
              </w:rPr>
              <w:t xml:space="preserve">Процент </w:t>
            </w:r>
          </w:p>
          <w:p w:rsidR="00A93772" w:rsidRPr="00EA3BB8" w:rsidRDefault="00A93772" w:rsidP="00C60A64">
            <w:pPr>
              <w:pStyle w:val="ConsNormal"/>
              <w:widowControl/>
              <w:ind w:right="0" w:firstLine="0"/>
              <w:jc w:val="center"/>
              <w:rPr>
                <w:rFonts w:ascii="Times New Roman" w:hAnsi="Times New Roman" w:cs="Times New Roman"/>
              </w:rPr>
            </w:pPr>
            <w:r w:rsidRPr="00EA3BB8">
              <w:rPr>
                <w:rFonts w:ascii="Times New Roman" w:hAnsi="Times New Roman" w:cs="Times New Roman"/>
              </w:rPr>
              <w:t>з</w:t>
            </w:r>
            <w:r w:rsidRPr="00EA3BB8">
              <w:rPr>
                <w:rFonts w:ascii="Times New Roman" w:hAnsi="Times New Roman" w:cs="Times New Roman"/>
              </w:rPr>
              <w:t>а</w:t>
            </w:r>
            <w:r w:rsidRPr="00EA3BB8">
              <w:rPr>
                <w:rFonts w:ascii="Times New Roman" w:hAnsi="Times New Roman" w:cs="Times New Roman"/>
              </w:rPr>
              <w:t>стройки, %</w:t>
            </w:r>
          </w:p>
        </w:tc>
      </w:tr>
      <w:tr w:rsidR="00A93772" w:rsidRPr="00EA3BB8" w:rsidTr="00C60A64">
        <w:tc>
          <w:tcPr>
            <w:tcW w:w="828" w:type="dxa"/>
            <w:vMerge/>
          </w:tcPr>
          <w:p w:rsidR="00A93772" w:rsidRPr="00EA3BB8" w:rsidRDefault="00A93772" w:rsidP="00C60A64">
            <w:pPr>
              <w:pStyle w:val="ConsNormal"/>
              <w:widowControl/>
              <w:ind w:right="0" w:firstLine="0"/>
              <w:jc w:val="center"/>
              <w:rPr>
                <w:rFonts w:ascii="Times New Roman" w:hAnsi="Times New Roman" w:cs="Times New Roman"/>
              </w:rPr>
            </w:pPr>
          </w:p>
        </w:tc>
        <w:tc>
          <w:tcPr>
            <w:tcW w:w="1728" w:type="dxa"/>
          </w:tcPr>
          <w:p w:rsidR="00A93772" w:rsidRPr="00EA3BB8" w:rsidRDefault="00A93772" w:rsidP="00C60A64">
            <w:pPr>
              <w:pStyle w:val="ConsNormal"/>
              <w:widowControl/>
              <w:ind w:right="0" w:firstLine="0"/>
              <w:jc w:val="center"/>
              <w:rPr>
                <w:rFonts w:ascii="Times New Roman" w:hAnsi="Times New Roman" w:cs="Times New Roman"/>
              </w:rPr>
            </w:pPr>
            <w:r w:rsidRPr="00EA3BB8">
              <w:rPr>
                <w:rFonts w:ascii="Times New Roman" w:hAnsi="Times New Roman" w:cs="Times New Roman"/>
              </w:rPr>
              <w:t>минимальная</w:t>
            </w:r>
          </w:p>
        </w:tc>
        <w:tc>
          <w:tcPr>
            <w:tcW w:w="2232" w:type="dxa"/>
          </w:tcPr>
          <w:p w:rsidR="00A93772" w:rsidRPr="00EA3BB8" w:rsidRDefault="00A93772" w:rsidP="00C60A64">
            <w:pPr>
              <w:pStyle w:val="ConsNormal"/>
              <w:widowControl/>
              <w:ind w:right="0" w:firstLine="0"/>
              <w:jc w:val="center"/>
              <w:rPr>
                <w:rFonts w:ascii="Times New Roman" w:hAnsi="Times New Roman" w:cs="Times New Roman"/>
              </w:rPr>
            </w:pPr>
            <w:r w:rsidRPr="00EA3BB8">
              <w:rPr>
                <w:rFonts w:ascii="Times New Roman" w:hAnsi="Times New Roman" w:cs="Times New Roman"/>
              </w:rPr>
              <w:t>максимальная</w:t>
            </w:r>
          </w:p>
        </w:tc>
        <w:tc>
          <w:tcPr>
            <w:tcW w:w="2160" w:type="dxa"/>
            <w:vMerge/>
          </w:tcPr>
          <w:p w:rsidR="00A93772" w:rsidRPr="00EA3BB8" w:rsidRDefault="00A93772" w:rsidP="00C60A64">
            <w:pPr>
              <w:pStyle w:val="ConsNormal"/>
              <w:widowControl/>
              <w:ind w:right="0" w:firstLine="0"/>
              <w:jc w:val="center"/>
              <w:rPr>
                <w:rFonts w:ascii="Times New Roman" w:hAnsi="Times New Roman" w:cs="Times New Roman"/>
              </w:rPr>
            </w:pPr>
          </w:p>
        </w:tc>
      </w:tr>
      <w:tr w:rsidR="00A93772" w:rsidRPr="00EA3BB8" w:rsidTr="00C60A64">
        <w:tc>
          <w:tcPr>
            <w:tcW w:w="828" w:type="dxa"/>
          </w:tcPr>
          <w:p w:rsidR="00A93772" w:rsidRPr="00EA3BB8" w:rsidRDefault="00A93772" w:rsidP="00C60A64">
            <w:pPr>
              <w:pStyle w:val="ConsNormal"/>
              <w:widowControl/>
              <w:ind w:right="0" w:firstLine="0"/>
              <w:jc w:val="both"/>
              <w:rPr>
                <w:rFonts w:ascii="Times New Roman" w:hAnsi="Times New Roman" w:cs="Times New Roman"/>
              </w:rPr>
            </w:pPr>
            <w:r w:rsidRPr="00EA3BB8">
              <w:rPr>
                <w:rFonts w:ascii="Times New Roman" w:hAnsi="Times New Roman" w:cs="Times New Roman"/>
              </w:rPr>
              <w:t>П-4</w:t>
            </w:r>
          </w:p>
        </w:tc>
        <w:tc>
          <w:tcPr>
            <w:tcW w:w="1728" w:type="dxa"/>
          </w:tcPr>
          <w:p w:rsidR="00A93772" w:rsidRPr="00EA3BB8" w:rsidRDefault="00A93772" w:rsidP="00C60A64">
            <w:pPr>
              <w:pStyle w:val="ConsNormal"/>
              <w:widowControl/>
              <w:ind w:right="0" w:firstLine="0"/>
              <w:jc w:val="both"/>
              <w:rPr>
                <w:rFonts w:ascii="Times New Roman" w:hAnsi="Times New Roman" w:cs="Times New Roman"/>
              </w:rPr>
            </w:pPr>
            <w:r w:rsidRPr="00EA3BB8">
              <w:rPr>
                <w:rFonts w:ascii="Times New Roman" w:hAnsi="Times New Roman" w:cs="Times New Roman"/>
              </w:rPr>
              <w:t>-</w:t>
            </w:r>
          </w:p>
        </w:tc>
        <w:tc>
          <w:tcPr>
            <w:tcW w:w="2232" w:type="dxa"/>
          </w:tcPr>
          <w:p w:rsidR="00A93772" w:rsidRPr="00EA3BB8" w:rsidRDefault="00A93772" w:rsidP="00C60A64">
            <w:pPr>
              <w:pStyle w:val="ConsNormal"/>
              <w:widowControl/>
              <w:ind w:right="0" w:firstLine="0"/>
              <w:jc w:val="both"/>
              <w:rPr>
                <w:rFonts w:ascii="Times New Roman" w:hAnsi="Times New Roman" w:cs="Times New Roman"/>
              </w:rPr>
            </w:pPr>
            <w:r w:rsidRPr="00EA3BB8">
              <w:rPr>
                <w:rFonts w:ascii="Times New Roman" w:hAnsi="Times New Roman" w:cs="Times New Roman"/>
              </w:rPr>
              <w:t>-</w:t>
            </w:r>
          </w:p>
        </w:tc>
        <w:tc>
          <w:tcPr>
            <w:tcW w:w="2160" w:type="dxa"/>
          </w:tcPr>
          <w:p w:rsidR="00A93772" w:rsidRPr="00EA3BB8" w:rsidRDefault="00A93772" w:rsidP="00C60A64">
            <w:pPr>
              <w:pStyle w:val="ConsNormal"/>
              <w:widowControl/>
              <w:ind w:right="0" w:firstLine="0"/>
              <w:jc w:val="both"/>
              <w:rPr>
                <w:rFonts w:ascii="Times New Roman" w:hAnsi="Times New Roman" w:cs="Times New Roman"/>
              </w:rPr>
            </w:pPr>
            <w:r w:rsidRPr="00EA3BB8">
              <w:rPr>
                <w:rFonts w:ascii="Times New Roman" w:hAnsi="Times New Roman" w:cs="Times New Roman"/>
              </w:rPr>
              <w:t>70</w:t>
            </w:r>
          </w:p>
        </w:tc>
      </w:tr>
    </w:tbl>
    <w:p w:rsidR="00A93772" w:rsidRPr="00EA3BB8" w:rsidRDefault="00A93772" w:rsidP="00A93772">
      <w:pPr>
        <w:autoSpaceDE w:val="0"/>
        <w:autoSpaceDN w:val="0"/>
        <w:adjustRightInd w:val="0"/>
        <w:ind w:firstLine="284"/>
        <w:jc w:val="both"/>
        <w:rPr>
          <w:b/>
          <w:bCs/>
        </w:rPr>
      </w:pPr>
      <w:r w:rsidRPr="00EA3BB8">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93772" w:rsidRPr="00EA3BB8" w:rsidRDefault="00A93772" w:rsidP="00A93772">
      <w:pPr>
        <w:autoSpaceDE w:val="0"/>
        <w:autoSpaceDN w:val="0"/>
        <w:adjustRightInd w:val="0"/>
        <w:ind w:firstLine="284"/>
        <w:jc w:val="both"/>
        <w:rPr>
          <w:bCs/>
        </w:rPr>
      </w:pPr>
      <w:r w:rsidRPr="00EA3BB8">
        <w:rPr>
          <w:bCs/>
        </w:rPr>
        <w:t>1. Технические условия подключения к тепловым сетям:</w:t>
      </w:r>
    </w:p>
    <w:p w:rsidR="00A93772" w:rsidRPr="00EA3BB8" w:rsidRDefault="00A93772" w:rsidP="00A93772">
      <w:pPr>
        <w:autoSpaceDE w:val="0"/>
        <w:autoSpaceDN w:val="0"/>
        <w:adjustRightInd w:val="0"/>
        <w:ind w:firstLine="284"/>
        <w:jc w:val="both"/>
        <w:rPr>
          <w:bCs/>
        </w:rPr>
      </w:pPr>
      <w:r w:rsidRPr="00EA3BB8">
        <w:rPr>
          <w:bCs/>
        </w:rPr>
        <w:t>1.1. источник теплоснабжения: БТЭЦ-10;</w:t>
      </w:r>
    </w:p>
    <w:p w:rsidR="00A93772" w:rsidRPr="00EA3BB8" w:rsidRDefault="00A93772" w:rsidP="00A93772">
      <w:pPr>
        <w:autoSpaceDE w:val="0"/>
        <w:autoSpaceDN w:val="0"/>
        <w:adjustRightInd w:val="0"/>
        <w:ind w:firstLine="284"/>
        <w:jc w:val="both"/>
        <w:rPr>
          <w:bCs/>
        </w:rPr>
      </w:pPr>
      <w:r w:rsidRPr="00EA3BB8">
        <w:rPr>
          <w:bCs/>
        </w:rPr>
        <w:lastRenderedPageBreak/>
        <w:t>1.2. возможные точки подключения к тепловым сетям: на границе земельного участка подключаемого объекта;</w:t>
      </w:r>
    </w:p>
    <w:p w:rsidR="00A93772" w:rsidRPr="00EA3BB8" w:rsidRDefault="00A93772" w:rsidP="00A93772">
      <w:pPr>
        <w:autoSpaceDE w:val="0"/>
        <w:autoSpaceDN w:val="0"/>
        <w:adjustRightInd w:val="0"/>
        <w:ind w:firstLine="284"/>
        <w:jc w:val="both"/>
        <w:rPr>
          <w:bCs/>
        </w:rPr>
      </w:pPr>
      <w:r w:rsidRPr="00EA3BB8">
        <w:rPr>
          <w:bCs/>
        </w:rPr>
        <w:t xml:space="preserve">1.3. размер предполагаемой нагрузки ресурса в возможных точках подключения: </w:t>
      </w:r>
      <w:r w:rsidRPr="00EA3BB8">
        <w:rPr>
          <w:bCs/>
          <w:lang w:val="en-US"/>
        </w:rPr>
        <w:t>Qmax</w:t>
      </w:r>
      <w:r w:rsidRPr="00EA3BB8">
        <w:rPr>
          <w:bCs/>
        </w:rPr>
        <w:t xml:space="preserve"> – 0,68 Гкал/час; </w:t>
      </w:r>
    </w:p>
    <w:p w:rsidR="00A93772" w:rsidRPr="00EA3BB8" w:rsidRDefault="00A93772" w:rsidP="00A93772">
      <w:pPr>
        <w:autoSpaceDE w:val="0"/>
        <w:autoSpaceDN w:val="0"/>
        <w:adjustRightInd w:val="0"/>
        <w:ind w:firstLine="284"/>
        <w:jc w:val="both"/>
        <w:rPr>
          <w:bCs/>
        </w:rPr>
      </w:pPr>
      <w:r w:rsidRPr="00EA3BB8">
        <w:rPr>
          <w:bCs/>
        </w:rPr>
        <w:t>1.4. информация о подключении:</w:t>
      </w:r>
    </w:p>
    <w:p w:rsidR="00A93772" w:rsidRPr="00EA3BB8" w:rsidRDefault="00A93772" w:rsidP="00A93772">
      <w:pPr>
        <w:autoSpaceDE w:val="0"/>
        <w:autoSpaceDN w:val="0"/>
        <w:adjustRightInd w:val="0"/>
        <w:ind w:firstLine="284"/>
        <w:jc w:val="both"/>
        <w:rPr>
          <w:bCs/>
        </w:rPr>
      </w:pPr>
      <w:r w:rsidRPr="00EA3BB8">
        <w:rPr>
          <w:bCs/>
        </w:rPr>
        <w:t>- нормативный срок подключения: в соответствии с п. 31 Постановления Правительства РФ от 16.04.2012 № 307;</w:t>
      </w:r>
    </w:p>
    <w:p w:rsidR="00A93772" w:rsidRPr="00EA3BB8" w:rsidRDefault="00A93772" w:rsidP="00A93772">
      <w:pPr>
        <w:autoSpaceDE w:val="0"/>
        <w:autoSpaceDN w:val="0"/>
        <w:adjustRightInd w:val="0"/>
        <w:ind w:firstLine="284"/>
        <w:jc w:val="both"/>
        <w:rPr>
          <w:bCs/>
        </w:rPr>
      </w:pPr>
      <w:r w:rsidRPr="00EA3BB8">
        <w:rPr>
          <w:bCs/>
        </w:rPr>
        <w:t>- информация о порядке определения размера платы за подключение: тариф, установленный РСТ;</w:t>
      </w:r>
    </w:p>
    <w:p w:rsidR="00A93772" w:rsidRPr="00EA3BB8" w:rsidRDefault="00A93772" w:rsidP="00A93772">
      <w:pPr>
        <w:autoSpaceDE w:val="0"/>
        <w:autoSpaceDN w:val="0"/>
        <w:adjustRightInd w:val="0"/>
        <w:ind w:firstLine="284"/>
        <w:jc w:val="both"/>
        <w:rPr>
          <w:bCs/>
        </w:rPr>
      </w:pPr>
      <w:r w:rsidRPr="00EA3BB8">
        <w:rPr>
          <w:bCs/>
        </w:rPr>
        <w:t>- иная необходимая информация: отсутствие технической возможности, необходимо проведение мероприятий по строительству тепловой сети от существующей магистральной тепловой сети 2Ду 400 до точки подключения (Т1);</w:t>
      </w:r>
    </w:p>
    <w:p w:rsidR="00A93772" w:rsidRPr="00EA3BB8" w:rsidRDefault="00A93772" w:rsidP="00A93772">
      <w:pPr>
        <w:autoSpaceDE w:val="0"/>
        <w:autoSpaceDN w:val="0"/>
        <w:adjustRightInd w:val="0"/>
        <w:ind w:firstLine="284"/>
        <w:jc w:val="both"/>
        <w:rPr>
          <w:bCs/>
        </w:rPr>
      </w:pPr>
      <w:r w:rsidRPr="00EA3BB8">
        <w:rPr>
          <w:bCs/>
        </w:rPr>
        <w:t>1.5. срок действия технических условий – до 24.09.2018;</w:t>
      </w:r>
    </w:p>
    <w:p w:rsidR="00A93772" w:rsidRPr="00F43D03" w:rsidRDefault="00A93772" w:rsidP="00A93772">
      <w:pPr>
        <w:autoSpaceDE w:val="0"/>
        <w:autoSpaceDN w:val="0"/>
        <w:adjustRightInd w:val="0"/>
        <w:ind w:firstLine="284"/>
        <w:jc w:val="both"/>
        <w:rPr>
          <w:bCs/>
        </w:rPr>
      </w:pPr>
      <w:r w:rsidRPr="00EA3BB8">
        <w:rPr>
          <w:bCs/>
        </w:rPr>
        <w:t>1.6. отсутствие технической возможности не препятствует обращению заявителя с заявкой на подключение к системе теплоснабжения и последующему инициированию Энергоснабжающей организацией обращения в уполномоченные органы за снятием ограничений по подключению к системе теплоснабжения путем внесения изменений в утвержденную (подлежащую утверждению) схему теплоснабжения и инвестиционную программу Энергоснабжающей организации в порядке, предусмот</w:t>
      </w:r>
      <w:r w:rsidRPr="00F43D03">
        <w:rPr>
          <w:bCs/>
        </w:rPr>
        <w:t>ренном статьей 14 Федерального закона от 27.07.2010 № 190-ФЗ «О теплоснабжении»;</w:t>
      </w:r>
    </w:p>
    <w:p w:rsidR="00A93772" w:rsidRPr="00F43D03" w:rsidRDefault="00A93772" w:rsidP="00A93772">
      <w:pPr>
        <w:autoSpaceDE w:val="0"/>
        <w:autoSpaceDN w:val="0"/>
        <w:adjustRightInd w:val="0"/>
        <w:ind w:firstLine="284"/>
        <w:jc w:val="both"/>
        <w:rPr>
          <w:bCs/>
        </w:rPr>
      </w:pPr>
      <w:r w:rsidRPr="00F43D03">
        <w:rPr>
          <w:bCs/>
        </w:rPr>
        <w:t>2. Технические условия подключения к сетям водоснабжения и водоотведения:</w:t>
      </w:r>
    </w:p>
    <w:p w:rsidR="00A93772" w:rsidRPr="00F43D03" w:rsidRDefault="00A93772" w:rsidP="00A93772">
      <w:pPr>
        <w:autoSpaceDE w:val="0"/>
        <w:autoSpaceDN w:val="0"/>
        <w:adjustRightInd w:val="0"/>
        <w:ind w:firstLine="284"/>
        <w:jc w:val="both"/>
        <w:rPr>
          <w:bCs/>
        </w:rPr>
      </w:pPr>
      <w:r w:rsidRPr="00F43D03">
        <w:rPr>
          <w:bCs/>
        </w:rPr>
        <w:t>2.1. максимальное планируемое водопотребление в возможных точках подключения – 0,64 м</w:t>
      </w:r>
      <w:r w:rsidRPr="00F43D03">
        <w:rPr>
          <w:bCs/>
          <w:vertAlign w:val="superscript"/>
        </w:rPr>
        <w:t>3</w:t>
      </w:r>
      <w:r w:rsidRPr="00F43D03">
        <w:rPr>
          <w:bCs/>
        </w:rPr>
        <w:t>/сут;</w:t>
      </w:r>
    </w:p>
    <w:p w:rsidR="00A93772" w:rsidRPr="00F43D03" w:rsidRDefault="00A93772" w:rsidP="00A93772">
      <w:pPr>
        <w:autoSpaceDE w:val="0"/>
        <w:autoSpaceDN w:val="0"/>
        <w:adjustRightInd w:val="0"/>
        <w:ind w:firstLine="284"/>
        <w:jc w:val="both"/>
        <w:rPr>
          <w:bCs/>
        </w:rPr>
      </w:pPr>
      <w:r w:rsidRPr="00F43D03">
        <w:rPr>
          <w:bCs/>
        </w:rPr>
        <w:t>2.2. предельно свободная мощность – 300,0 м</w:t>
      </w:r>
      <w:r w:rsidRPr="00F43D03">
        <w:rPr>
          <w:bCs/>
          <w:vertAlign w:val="superscript"/>
        </w:rPr>
        <w:t>3</w:t>
      </w:r>
      <w:r w:rsidRPr="00F43D03">
        <w:rPr>
          <w:bCs/>
        </w:rPr>
        <w:t>/сут;</w:t>
      </w:r>
    </w:p>
    <w:p w:rsidR="00A93772" w:rsidRPr="00F43D03" w:rsidRDefault="00A93772" w:rsidP="00A93772">
      <w:pPr>
        <w:autoSpaceDE w:val="0"/>
        <w:autoSpaceDN w:val="0"/>
        <w:adjustRightInd w:val="0"/>
        <w:ind w:firstLine="284"/>
        <w:jc w:val="both"/>
        <w:rPr>
          <w:bCs/>
        </w:rPr>
      </w:pPr>
      <w:r w:rsidRPr="00F43D03">
        <w:rPr>
          <w:bCs/>
        </w:rPr>
        <w:t>2.3. максимальное планируемое водоотведение в возможных точках подключения – 0,64 м</w:t>
      </w:r>
      <w:r w:rsidRPr="00F43D03">
        <w:rPr>
          <w:bCs/>
          <w:vertAlign w:val="superscript"/>
        </w:rPr>
        <w:t>3</w:t>
      </w:r>
      <w:r w:rsidRPr="00F43D03">
        <w:rPr>
          <w:bCs/>
        </w:rPr>
        <w:t>/сут;</w:t>
      </w:r>
    </w:p>
    <w:p w:rsidR="00A93772" w:rsidRPr="00F43D03" w:rsidRDefault="00A93772" w:rsidP="00A93772">
      <w:pPr>
        <w:autoSpaceDE w:val="0"/>
        <w:autoSpaceDN w:val="0"/>
        <w:adjustRightInd w:val="0"/>
        <w:ind w:firstLine="284"/>
        <w:jc w:val="both"/>
        <w:rPr>
          <w:bCs/>
        </w:rPr>
      </w:pPr>
      <w:r w:rsidRPr="00F43D03">
        <w:rPr>
          <w:bCs/>
        </w:rPr>
        <w:t>2.4. увеличение водопотребления и водоотведения (в случае реконструкции объекта) - 0,00 м</w:t>
      </w:r>
      <w:r w:rsidRPr="00F43D03">
        <w:rPr>
          <w:bCs/>
          <w:vertAlign w:val="superscript"/>
        </w:rPr>
        <w:t>3</w:t>
      </w:r>
      <w:r w:rsidRPr="00F43D03">
        <w:rPr>
          <w:bCs/>
        </w:rPr>
        <w:t>/сут;</w:t>
      </w:r>
    </w:p>
    <w:p w:rsidR="00A93772" w:rsidRPr="00F43D03" w:rsidRDefault="00A93772" w:rsidP="00A93772">
      <w:pPr>
        <w:autoSpaceDE w:val="0"/>
        <w:autoSpaceDN w:val="0"/>
        <w:adjustRightInd w:val="0"/>
        <w:ind w:firstLine="284"/>
        <w:jc w:val="both"/>
        <w:rPr>
          <w:bCs/>
        </w:rPr>
      </w:pPr>
      <w:r w:rsidRPr="00F43D03">
        <w:rPr>
          <w:bCs/>
        </w:rPr>
        <w:t>2.5. технической возможности подключения к сетям водоснабжения и водоотведения имеется;</w:t>
      </w:r>
    </w:p>
    <w:p w:rsidR="00A93772" w:rsidRPr="00F43D03" w:rsidRDefault="00A93772" w:rsidP="00A93772">
      <w:pPr>
        <w:autoSpaceDE w:val="0"/>
        <w:autoSpaceDN w:val="0"/>
        <w:adjustRightInd w:val="0"/>
        <w:ind w:firstLine="284"/>
        <w:jc w:val="both"/>
        <w:rPr>
          <w:bCs/>
        </w:rPr>
      </w:pPr>
      <w:r w:rsidRPr="00F43D03">
        <w:rPr>
          <w:bCs/>
        </w:rPr>
        <w:t>2.6.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A93772" w:rsidRPr="00F43D03" w:rsidRDefault="00A93772" w:rsidP="00A93772">
      <w:pPr>
        <w:autoSpaceDE w:val="0"/>
        <w:autoSpaceDN w:val="0"/>
        <w:adjustRightInd w:val="0"/>
        <w:ind w:firstLine="284"/>
        <w:jc w:val="both"/>
        <w:rPr>
          <w:bCs/>
        </w:rPr>
      </w:pPr>
      <w:r w:rsidRPr="00F43D03">
        <w:rPr>
          <w:bCs/>
        </w:rPr>
        <w:t>2.7. технические условия представлены без учета реконструкции сетей;</w:t>
      </w:r>
    </w:p>
    <w:p w:rsidR="00A93772" w:rsidRPr="00F43D03" w:rsidRDefault="00A93772" w:rsidP="00A93772">
      <w:pPr>
        <w:autoSpaceDE w:val="0"/>
        <w:autoSpaceDN w:val="0"/>
        <w:adjustRightInd w:val="0"/>
        <w:ind w:firstLine="284"/>
        <w:jc w:val="both"/>
        <w:rPr>
          <w:bCs/>
        </w:rPr>
      </w:pPr>
      <w:r w:rsidRPr="00F43D03">
        <w:rPr>
          <w:bCs/>
        </w:rPr>
        <w:t>2.8. срок действия технических условий – 3 года;</w:t>
      </w:r>
    </w:p>
    <w:p w:rsidR="00A93772" w:rsidRPr="00F43D03" w:rsidRDefault="00A93772" w:rsidP="00A93772">
      <w:pPr>
        <w:autoSpaceDE w:val="0"/>
        <w:autoSpaceDN w:val="0"/>
        <w:adjustRightInd w:val="0"/>
        <w:ind w:firstLine="284"/>
        <w:jc w:val="both"/>
        <w:rPr>
          <w:bCs/>
        </w:rPr>
      </w:pPr>
      <w:r w:rsidRPr="00F43D03">
        <w:rPr>
          <w:bCs/>
        </w:rPr>
        <w:t>3. Технические условия подключения к сетям газораспределения:</w:t>
      </w:r>
    </w:p>
    <w:p w:rsidR="00A93772" w:rsidRPr="00F43D03" w:rsidRDefault="00A93772" w:rsidP="00A93772">
      <w:pPr>
        <w:autoSpaceDE w:val="0"/>
        <w:autoSpaceDN w:val="0"/>
        <w:adjustRightInd w:val="0"/>
        <w:ind w:firstLine="284"/>
        <w:jc w:val="both"/>
        <w:rPr>
          <w:bCs/>
        </w:rPr>
      </w:pPr>
      <w:r w:rsidRPr="00F43D03">
        <w:rPr>
          <w:bCs/>
        </w:rPr>
        <w:t>3.1. газификация объекта на земельном участке невозможна ввиду прокладки газопровода по Зоне 1Б (опасные условия).</w:t>
      </w:r>
    </w:p>
    <w:p w:rsidR="00A93772" w:rsidRPr="00F43D03" w:rsidRDefault="00A93772" w:rsidP="00A93772">
      <w:pPr>
        <w:tabs>
          <w:tab w:val="left" w:pos="-1134"/>
        </w:tabs>
        <w:ind w:firstLine="284"/>
        <w:jc w:val="both"/>
        <w:rPr>
          <w:highlight w:val="lightGray"/>
        </w:rPr>
      </w:pPr>
    </w:p>
    <w:p w:rsidR="00A93772" w:rsidRPr="00F43D03" w:rsidRDefault="00A93772" w:rsidP="00A93772">
      <w:pPr>
        <w:tabs>
          <w:tab w:val="left" w:pos="90"/>
        </w:tabs>
        <w:ind w:firstLine="284"/>
        <w:jc w:val="both"/>
      </w:pPr>
      <w:r w:rsidRPr="00F43D03">
        <w:rPr>
          <w:b/>
        </w:rPr>
        <w:t>Лот № 4.</w:t>
      </w:r>
      <w:r w:rsidRPr="00F43D03">
        <w:t xml:space="preserve"> Земельный участок (категория земель – земли населенных пунктов) с кадастровым номером 59:03:0300005:60 площадью 144 кв.м. для размещения объекта временного использования – бесплатной автопарковки по ул. Карла Маркса, 124.</w:t>
      </w:r>
    </w:p>
    <w:p w:rsidR="00A93772" w:rsidRPr="00F43D03" w:rsidRDefault="00A93772" w:rsidP="00A93772">
      <w:pPr>
        <w:pStyle w:val="2"/>
        <w:tabs>
          <w:tab w:val="left" w:pos="90"/>
        </w:tabs>
        <w:ind w:firstLine="284"/>
        <w:jc w:val="both"/>
        <w:rPr>
          <w:b/>
          <w:sz w:val="20"/>
        </w:rPr>
      </w:pPr>
      <w:r w:rsidRPr="00F43D03">
        <w:rPr>
          <w:b/>
          <w:sz w:val="20"/>
        </w:rPr>
        <w:t>Начальная цена предмета торгов – 187 000,00 рублей.</w:t>
      </w:r>
    </w:p>
    <w:p w:rsidR="00A93772" w:rsidRPr="00F43D03" w:rsidRDefault="00A93772" w:rsidP="00A93772">
      <w:pPr>
        <w:tabs>
          <w:tab w:val="left" w:pos="90"/>
        </w:tabs>
        <w:ind w:firstLine="284"/>
        <w:jc w:val="both"/>
        <w:rPr>
          <w:b/>
        </w:rPr>
      </w:pPr>
      <w:r w:rsidRPr="00F43D03">
        <w:rPr>
          <w:b/>
        </w:rPr>
        <w:t>Сумма задатка: 20 % от начальной цены предмета торгов – 37 400,00 руб.</w:t>
      </w:r>
    </w:p>
    <w:p w:rsidR="00A93772" w:rsidRPr="00F43D03" w:rsidRDefault="00A93772" w:rsidP="00A93772">
      <w:pPr>
        <w:tabs>
          <w:tab w:val="left" w:pos="90"/>
        </w:tabs>
        <w:ind w:firstLine="284"/>
        <w:jc w:val="both"/>
        <w:rPr>
          <w:b/>
        </w:rPr>
      </w:pPr>
    </w:p>
    <w:p w:rsidR="00A93772" w:rsidRPr="00F43D03" w:rsidRDefault="00A93772" w:rsidP="00A93772">
      <w:pPr>
        <w:tabs>
          <w:tab w:val="left" w:pos="90"/>
        </w:tabs>
        <w:ind w:firstLine="284"/>
        <w:jc w:val="both"/>
      </w:pPr>
      <w:r w:rsidRPr="00F43D03">
        <w:rPr>
          <w:b/>
        </w:rPr>
        <w:t>Лот № 5</w:t>
      </w:r>
      <w:r w:rsidRPr="00F43D03">
        <w:t>. Земельный участок (категория земель – земли населенных пунктов) с кадастровым номером 59:03:0300005:1570 площадью 983 кв.м. для размещения объекта временного использования – бесплатной автопарковки по ул. Карла Маркса, 124.</w:t>
      </w:r>
    </w:p>
    <w:p w:rsidR="00A93772" w:rsidRPr="00F43D03" w:rsidRDefault="00A93772" w:rsidP="00A93772">
      <w:pPr>
        <w:pStyle w:val="ConsPlusNormal"/>
        <w:ind w:firstLine="284"/>
        <w:jc w:val="both"/>
        <w:rPr>
          <w:rFonts w:ascii="Times New Roman" w:hAnsi="Times New Roman" w:cs="Times New Roman"/>
          <w:b/>
          <w:bCs/>
        </w:rPr>
      </w:pPr>
      <w:r w:rsidRPr="00F43D03">
        <w:rPr>
          <w:rFonts w:ascii="Times New Roman" w:hAnsi="Times New Roman" w:cs="Times New Roman"/>
          <w:b/>
        </w:rPr>
        <w:t xml:space="preserve">Дополнительное условие торгов: на части земельного участка общей площадью 299 кв.м от земельного участка с кадастровым номером 59:03:0300005:1570 установлен публичный сервитут для использования части земельного участка </w:t>
      </w:r>
      <w:r w:rsidRPr="00F43D03">
        <w:rPr>
          <w:rFonts w:ascii="Times New Roman" w:hAnsi="Times New Roman" w:cs="Times New Roman"/>
          <w:b/>
          <w:bCs/>
        </w:rPr>
        <w:t>в целях ремонта коммунальных, инженерных, электрических и других линий и сетей</w:t>
      </w:r>
      <w:r w:rsidRPr="00F43D03">
        <w:rPr>
          <w:rFonts w:ascii="Times New Roman" w:hAnsi="Times New Roman" w:cs="Times New Roman"/>
          <w:b/>
        </w:rPr>
        <w:t>.</w:t>
      </w:r>
    </w:p>
    <w:p w:rsidR="00A93772" w:rsidRPr="00F43D03" w:rsidRDefault="00A93772" w:rsidP="00A93772">
      <w:pPr>
        <w:pStyle w:val="2"/>
        <w:tabs>
          <w:tab w:val="left" w:pos="90"/>
        </w:tabs>
        <w:ind w:firstLine="284"/>
        <w:jc w:val="both"/>
        <w:rPr>
          <w:b/>
          <w:sz w:val="20"/>
        </w:rPr>
      </w:pPr>
      <w:r w:rsidRPr="00F43D03">
        <w:rPr>
          <w:b/>
          <w:sz w:val="20"/>
        </w:rPr>
        <w:t>Начальная цена предмета торгов – 1 063 000,00 рублей.</w:t>
      </w:r>
    </w:p>
    <w:p w:rsidR="00A93772" w:rsidRPr="00F43D03" w:rsidRDefault="00A93772" w:rsidP="00A93772">
      <w:pPr>
        <w:tabs>
          <w:tab w:val="left" w:pos="90"/>
        </w:tabs>
        <w:ind w:firstLine="284"/>
        <w:jc w:val="both"/>
        <w:rPr>
          <w:b/>
        </w:rPr>
      </w:pPr>
      <w:r w:rsidRPr="00F43D03">
        <w:rPr>
          <w:b/>
        </w:rPr>
        <w:t>Сумма задатка: 20 % от начальной цены предмета торгов – 212 600,00 руб.</w:t>
      </w:r>
    </w:p>
    <w:p w:rsidR="00A93772" w:rsidRPr="00F43D03" w:rsidRDefault="00A93772" w:rsidP="00A93772">
      <w:pPr>
        <w:tabs>
          <w:tab w:val="left" w:pos="90"/>
        </w:tabs>
        <w:ind w:firstLine="284"/>
        <w:jc w:val="both"/>
        <w:rPr>
          <w:b/>
        </w:rPr>
      </w:pPr>
    </w:p>
    <w:p w:rsidR="00A93772" w:rsidRPr="00F43D03" w:rsidRDefault="00A93772" w:rsidP="00A93772">
      <w:pPr>
        <w:tabs>
          <w:tab w:val="left" w:pos="90"/>
        </w:tabs>
        <w:ind w:firstLine="284"/>
        <w:jc w:val="both"/>
      </w:pPr>
      <w:r w:rsidRPr="00F43D03">
        <w:rPr>
          <w:b/>
        </w:rPr>
        <w:t>Лот № 6.</w:t>
      </w:r>
      <w:r w:rsidRPr="00F43D03">
        <w:t xml:space="preserve"> Земельный участок (категория земель – земли населенных пунктов) с кадастровым номером 59:03:0300005:1571 площадью 6503 кв.м. для размещения объекта временного использования – бесплатной автопарковки по ул. Карла Маркса, 124.</w:t>
      </w:r>
    </w:p>
    <w:p w:rsidR="00A93772" w:rsidRPr="00F43D03" w:rsidRDefault="00A93772" w:rsidP="00A93772">
      <w:pPr>
        <w:pStyle w:val="ConsPlusNormal"/>
        <w:ind w:firstLine="284"/>
        <w:jc w:val="both"/>
        <w:rPr>
          <w:rFonts w:ascii="Times New Roman" w:hAnsi="Times New Roman" w:cs="Times New Roman"/>
          <w:b/>
          <w:bCs/>
        </w:rPr>
      </w:pPr>
      <w:r w:rsidRPr="00F43D03">
        <w:rPr>
          <w:rFonts w:ascii="Times New Roman" w:hAnsi="Times New Roman" w:cs="Times New Roman"/>
          <w:b/>
        </w:rPr>
        <w:t xml:space="preserve">Дополнительное условие торгов: на части земельного участка общей площадью 390 кв.м от земельного участка с кадастровым номером 59:03:0300005:1571 установлен публичный сервитут для использования части земельного участка </w:t>
      </w:r>
      <w:r w:rsidRPr="00F43D03">
        <w:rPr>
          <w:rFonts w:ascii="Times New Roman" w:hAnsi="Times New Roman" w:cs="Times New Roman"/>
          <w:b/>
          <w:bCs/>
        </w:rPr>
        <w:t>в целях ремонта коммунальных, инженерных, электрических и других линий и сетей</w:t>
      </w:r>
      <w:r w:rsidRPr="00F43D03">
        <w:rPr>
          <w:rFonts w:ascii="Times New Roman" w:hAnsi="Times New Roman" w:cs="Times New Roman"/>
          <w:b/>
        </w:rPr>
        <w:t>.</w:t>
      </w:r>
    </w:p>
    <w:p w:rsidR="00A93772" w:rsidRPr="00F43D03" w:rsidRDefault="00A93772" w:rsidP="00A93772">
      <w:pPr>
        <w:pStyle w:val="2"/>
        <w:tabs>
          <w:tab w:val="left" w:pos="-142"/>
          <w:tab w:val="left" w:pos="90"/>
        </w:tabs>
        <w:ind w:firstLine="284"/>
        <w:jc w:val="both"/>
        <w:rPr>
          <w:b/>
          <w:sz w:val="20"/>
        </w:rPr>
      </w:pPr>
      <w:r w:rsidRPr="00F43D03">
        <w:rPr>
          <w:b/>
          <w:sz w:val="20"/>
        </w:rPr>
        <w:t>Дополнительное условие торгов: на часть земельного участка общей площадью 789 кв.м от земельного участка с кадастровым номером 59:03:0300005:1571 установлен публичный сервитут для использования части земельного участка в целях прохода и проезда через земельный участок.</w:t>
      </w:r>
    </w:p>
    <w:p w:rsidR="00A93772" w:rsidRPr="00F43D03" w:rsidRDefault="00A93772" w:rsidP="00A93772">
      <w:pPr>
        <w:pStyle w:val="2"/>
        <w:tabs>
          <w:tab w:val="left" w:pos="90"/>
        </w:tabs>
        <w:ind w:firstLine="284"/>
        <w:jc w:val="both"/>
        <w:rPr>
          <w:b/>
          <w:sz w:val="20"/>
        </w:rPr>
      </w:pPr>
      <w:r w:rsidRPr="00F43D03">
        <w:rPr>
          <w:b/>
          <w:sz w:val="20"/>
        </w:rPr>
        <w:t>Начальная цена предмета торгов – 5 410 000,00 рублей.</w:t>
      </w:r>
    </w:p>
    <w:p w:rsidR="00A93772" w:rsidRPr="00F43D03" w:rsidRDefault="00A93772" w:rsidP="00A93772">
      <w:pPr>
        <w:tabs>
          <w:tab w:val="left" w:pos="90"/>
        </w:tabs>
        <w:ind w:firstLine="284"/>
        <w:jc w:val="both"/>
        <w:rPr>
          <w:b/>
        </w:rPr>
      </w:pPr>
      <w:r w:rsidRPr="00F43D03">
        <w:rPr>
          <w:b/>
        </w:rPr>
        <w:t>Сумма задатка: 20 % от начальной цены предмета торгов – 1 082 000,00 руб.</w:t>
      </w:r>
    </w:p>
    <w:p w:rsidR="00A93772" w:rsidRPr="00F43D03" w:rsidRDefault="00A93772" w:rsidP="00A93772">
      <w:pPr>
        <w:tabs>
          <w:tab w:val="left" w:pos="90"/>
        </w:tabs>
        <w:ind w:firstLine="284"/>
        <w:jc w:val="both"/>
        <w:rPr>
          <w:b/>
        </w:rPr>
      </w:pPr>
    </w:p>
    <w:p w:rsidR="00A93772" w:rsidRPr="00F43D03" w:rsidRDefault="00A93772" w:rsidP="00A93772">
      <w:pPr>
        <w:tabs>
          <w:tab w:val="left" w:pos="90"/>
        </w:tabs>
        <w:ind w:firstLine="284"/>
        <w:jc w:val="both"/>
      </w:pPr>
      <w:r w:rsidRPr="00F43D03">
        <w:rPr>
          <w:b/>
        </w:rPr>
        <w:t>Лот № 7</w:t>
      </w:r>
      <w:r w:rsidRPr="00F43D03">
        <w:t>. Земельный участок (категория земель – земли населенных пунктов) с кадастровым номером 59:03:0300005:1574 площадью 2471 кв.м. для размещения объекта временного использования – бесплатной автопарковки по ул. Карла Маркса, 124.</w:t>
      </w:r>
    </w:p>
    <w:p w:rsidR="00A93772" w:rsidRPr="00F43D03" w:rsidRDefault="00A93772" w:rsidP="00A93772">
      <w:pPr>
        <w:pStyle w:val="ConsPlusNormal"/>
        <w:ind w:firstLine="284"/>
        <w:jc w:val="both"/>
        <w:rPr>
          <w:rFonts w:ascii="Times New Roman" w:hAnsi="Times New Roman" w:cs="Times New Roman"/>
          <w:b/>
          <w:bCs/>
        </w:rPr>
      </w:pPr>
      <w:r w:rsidRPr="00F43D03">
        <w:rPr>
          <w:rFonts w:ascii="Times New Roman" w:hAnsi="Times New Roman" w:cs="Times New Roman"/>
          <w:b/>
        </w:rPr>
        <w:t xml:space="preserve">Дополнительное условие торгов: на части земельного участка общей площадью 174 кв.м от земельного участка с кадастровым номером 59:03:0300005:1574 установлен публичный сервитут для использования части земельного участка </w:t>
      </w:r>
      <w:r w:rsidRPr="00F43D03">
        <w:rPr>
          <w:rFonts w:ascii="Times New Roman" w:hAnsi="Times New Roman" w:cs="Times New Roman"/>
          <w:b/>
          <w:bCs/>
        </w:rPr>
        <w:t>в целях ремонта коммунальных, инженерных, электрических и других линий и сетей</w:t>
      </w:r>
      <w:r w:rsidRPr="00F43D03">
        <w:rPr>
          <w:rFonts w:ascii="Times New Roman" w:hAnsi="Times New Roman" w:cs="Times New Roman"/>
          <w:b/>
        </w:rPr>
        <w:t>.</w:t>
      </w:r>
    </w:p>
    <w:p w:rsidR="00A93772" w:rsidRPr="00F43D03" w:rsidRDefault="00A93772" w:rsidP="00A93772">
      <w:pPr>
        <w:pStyle w:val="2"/>
        <w:tabs>
          <w:tab w:val="left" w:pos="90"/>
        </w:tabs>
        <w:ind w:firstLine="284"/>
        <w:jc w:val="both"/>
        <w:rPr>
          <w:b/>
          <w:sz w:val="20"/>
        </w:rPr>
      </w:pPr>
      <w:r w:rsidRPr="00F43D03">
        <w:rPr>
          <w:b/>
          <w:sz w:val="20"/>
        </w:rPr>
        <w:t>Начальная цена предмета торгов – 2 397 000,00 рублей.</w:t>
      </w:r>
    </w:p>
    <w:p w:rsidR="00A93772" w:rsidRPr="00F43D03" w:rsidRDefault="00A93772" w:rsidP="00A93772">
      <w:pPr>
        <w:tabs>
          <w:tab w:val="left" w:pos="90"/>
        </w:tabs>
        <w:ind w:firstLine="284"/>
        <w:jc w:val="both"/>
        <w:rPr>
          <w:b/>
        </w:rPr>
      </w:pPr>
      <w:r w:rsidRPr="00F43D03">
        <w:rPr>
          <w:b/>
        </w:rPr>
        <w:t>Сумма задатка: 20 % от начальной цены предмета торгов – 479 400,00 руб.</w:t>
      </w:r>
    </w:p>
    <w:p w:rsidR="00A93772" w:rsidRPr="00F43D03" w:rsidRDefault="00A93772" w:rsidP="00A93772">
      <w:pPr>
        <w:tabs>
          <w:tab w:val="left" w:pos="-1134"/>
        </w:tabs>
        <w:ind w:firstLine="284"/>
        <w:jc w:val="both"/>
        <w:rPr>
          <w:highlight w:val="lightGray"/>
        </w:rPr>
      </w:pPr>
    </w:p>
    <w:p w:rsidR="00A93772" w:rsidRPr="00F43D03" w:rsidRDefault="00A93772" w:rsidP="00A93772">
      <w:pPr>
        <w:pStyle w:val="2"/>
        <w:ind w:firstLine="284"/>
        <w:jc w:val="both"/>
        <w:rPr>
          <w:b/>
          <w:sz w:val="20"/>
        </w:rPr>
      </w:pPr>
      <w:r w:rsidRPr="00F43D03">
        <w:rPr>
          <w:b/>
          <w:sz w:val="20"/>
        </w:rPr>
        <w:t>Предлагаемые условия:</w:t>
      </w:r>
    </w:p>
    <w:p w:rsidR="00A93772" w:rsidRPr="00F43D03" w:rsidRDefault="00A93772" w:rsidP="00A93772">
      <w:pPr>
        <w:widowControl w:val="0"/>
        <w:tabs>
          <w:tab w:val="left" w:pos="90"/>
        </w:tabs>
        <w:autoSpaceDE w:val="0"/>
        <w:autoSpaceDN w:val="0"/>
        <w:adjustRightInd w:val="0"/>
        <w:ind w:firstLine="284"/>
        <w:jc w:val="both"/>
      </w:pPr>
      <w:r w:rsidRPr="00F43D03">
        <w:t xml:space="preserve">- Форма проведения торгов – </w:t>
      </w:r>
    </w:p>
    <w:p w:rsidR="00A93772" w:rsidRPr="00F43D03" w:rsidRDefault="00A93772" w:rsidP="00A93772">
      <w:pPr>
        <w:widowControl w:val="0"/>
        <w:tabs>
          <w:tab w:val="left" w:pos="90"/>
        </w:tabs>
        <w:autoSpaceDE w:val="0"/>
        <w:autoSpaceDN w:val="0"/>
        <w:adjustRightInd w:val="0"/>
        <w:ind w:firstLine="284"/>
        <w:jc w:val="both"/>
      </w:pPr>
      <w:r w:rsidRPr="00F43D03">
        <w:t xml:space="preserve">- аукцион, открытый по составу участников </w:t>
      </w:r>
    </w:p>
    <w:p w:rsidR="00A93772" w:rsidRPr="00F43D03" w:rsidRDefault="00A93772" w:rsidP="00A93772">
      <w:pPr>
        <w:widowControl w:val="0"/>
        <w:tabs>
          <w:tab w:val="left" w:pos="90"/>
        </w:tabs>
        <w:autoSpaceDE w:val="0"/>
        <w:autoSpaceDN w:val="0"/>
        <w:adjustRightInd w:val="0"/>
        <w:ind w:firstLine="284"/>
        <w:jc w:val="both"/>
      </w:pPr>
      <w:r w:rsidRPr="00F43D03">
        <w:lastRenderedPageBreak/>
        <w:t>- аукцион, открытый по форме подачи предложений по цене предмета торгов</w:t>
      </w:r>
    </w:p>
    <w:p w:rsidR="00A93772" w:rsidRPr="00F43D03" w:rsidRDefault="00A93772" w:rsidP="00A93772">
      <w:pPr>
        <w:widowControl w:val="0"/>
        <w:tabs>
          <w:tab w:val="left" w:pos="90"/>
        </w:tabs>
        <w:autoSpaceDE w:val="0"/>
        <w:autoSpaceDN w:val="0"/>
        <w:adjustRightInd w:val="0"/>
        <w:ind w:firstLine="284"/>
        <w:jc w:val="both"/>
      </w:pPr>
      <w:r w:rsidRPr="00F43D03">
        <w:t xml:space="preserve">- </w:t>
      </w:r>
      <w:r w:rsidRPr="00F43D03">
        <w:rPr>
          <w:b/>
        </w:rPr>
        <w:t>Дата и время начала приема заявок: 16 ноября 2015 года с 8-30.</w:t>
      </w:r>
    </w:p>
    <w:p w:rsidR="00A93772" w:rsidRPr="00F43D03" w:rsidRDefault="00A93772" w:rsidP="00A93772">
      <w:pPr>
        <w:widowControl w:val="0"/>
        <w:tabs>
          <w:tab w:val="left" w:pos="90"/>
        </w:tabs>
        <w:autoSpaceDE w:val="0"/>
        <w:autoSpaceDN w:val="0"/>
        <w:adjustRightInd w:val="0"/>
        <w:ind w:firstLine="284"/>
        <w:jc w:val="both"/>
        <w:rPr>
          <w:b/>
        </w:rPr>
      </w:pPr>
      <w:r w:rsidRPr="00F43D03">
        <w:rPr>
          <w:b/>
        </w:rPr>
        <w:t>- Порядок приема заявок: лично либо через законного представителя</w:t>
      </w:r>
    </w:p>
    <w:p w:rsidR="00A93772" w:rsidRPr="00F43D03" w:rsidRDefault="00A93772" w:rsidP="00A93772">
      <w:pPr>
        <w:widowControl w:val="0"/>
        <w:tabs>
          <w:tab w:val="left" w:pos="90"/>
        </w:tabs>
        <w:autoSpaceDE w:val="0"/>
        <w:autoSpaceDN w:val="0"/>
        <w:adjustRightInd w:val="0"/>
        <w:ind w:firstLine="284"/>
        <w:jc w:val="both"/>
        <w:rPr>
          <w:b/>
        </w:rPr>
      </w:pPr>
      <w:r w:rsidRPr="00F43D03">
        <w:t xml:space="preserve">- </w:t>
      </w:r>
      <w:r w:rsidRPr="00F43D03">
        <w:rPr>
          <w:b/>
        </w:rPr>
        <w:t>Срок приема заявок и прилагаемых к ним документов: до 12-00 часов 18 декабря 2015 года.</w:t>
      </w:r>
    </w:p>
    <w:p w:rsidR="00A93772" w:rsidRPr="00F43D03" w:rsidRDefault="00A93772" w:rsidP="00A93772">
      <w:pPr>
        <w:widowControl w:val="0"/>
        <w:tabs>
          <w:tab w:val="left" w:pos="90"/>
        </w:tabs>
        <w:autoSpaceDE w:val="0"/>
        <w:autoSpaceDN w:val="0"/>
        <w:adjustRightInd w:val="0"/>
        <w:ind w:firstLine="284"/>
        <w:jc w:val="both"/>
        <w:rPr>
          <w:b/>
        </w:rPr>
      </w:pPr>
      <w:r w:rsidRPr="00F43D03">
        <w:t xml:space="preserve">- </w:t>
      </w:r>
      <w:r w:rsidRPr="00F43D03">
        <w:rPr>
          <w:b/>
        </w:rPr>
        <w:t>Адрес места приема заявок: г. Березники, пр. Советский, 39, каб. № 1.</w:t>
      </w:r>
    </w:p>
    <w:p w:rsidR="00A93772" w:rsidRPr="00F43D03" w:rsidRDefault="00A93772" w:rsidP="00A93772">
      <w:pPr>
        <w:widowControl w:val="0"/>
        <w:tabs>
          <w:tab w:val="left" w:pos="90"/>
        </w:tabs>
        <w:autoSpaceDE w:val="0"/>
        <w:autoSpaceDN w:val="0"/>
        <w:adjustRightInd w:val="0"/>
        <w:ind w:firstLine="284"/>
        <w:jc w:val="both"/>
        <w:rPr>
          <w:b/>
        </w:rPr>
      </w:pPr>
      <w:r w:rsidRPr="00F43D03">
        <w:rPr>
          <w:b/>
        </w:rPr>
        <w:t>- Контактный телефон: т. 290-181</w:t>
      </w:r>
    </w:p>
    <w:p w:rsidR="00A93772" w:rsidRPr="00F43D03" w:rsidRDefault="00A93772" w:rsidP="00A93772">
      <w:pPr>
        <w:widowControl w:val="0"/>
        <w:tabs>
          <w:tab w:val="left" w:pos="90"/>
        </w:tabs>
        <w:autoSpaceDE w:val="0"/>
        <w:autoSpaceDN w:val="0"/>
        <w:adjustRightInd w:val="0"/>
        <w:ind w:firstLine="284"/>
        <w:jc w:val="both"/>
        <w:rPr>
          <w:b/>
        </w:rPr>
      </w:pPr>
      <w:r w:rsidRPr="00F43D03">
        <w:rPr>
          <w:b/>
        </w:rPr>
        <w:t xml:space="preserve">- Дата определения участников торгов, подведения итогов торгов: 21 декабря 2015 года в 14-00. </w:t>
      </w:r>
    </w:p>
    <w:p w:rsidR="00A93772" w:rsidRPr="00F43D03" w:rsidRDefault="00A93772" w:rsidP="00A93772">
      <w:pPr>
        <w:widowControl w:val="0"/>
        <w:tabs>
          <w:tab w:val="left" w:pos="90"/>
        </w:tabs>
        <w:autoSpaceDE w:val="0"/>
        <w:autoSpaceDN w:val="0"/>
        <w:adjustRightInd w:val="0"/>
        <w:ind w:firstLine="284"/>
        <w:jc w:val="both"/>
        <w:rPr>
          <w:b/>
        </w:rPr>
      </w:pPr>
      <w:r w:rsidRPr="00F43D03">
        <w:rPr>
          <w:b/>
        </w:rPr>
        <w:t>- Место определения участников торгов и подведение итогов торгов: г. Березники, Советская пл.,1, каб. 37</w:t>
      </w:r>
    </w:p>
    <w:p w:rsidR="00A93772" w:rsidRPr="00F43D03" w:rsidRDefault="00A93772" w:rsidP="00A93772">
      <w:pPr>
        <w:widowControl w:val="0"/>
        <w:tabs>
          <w:tab w:val="left" w:pos="90"/>
        </w:tabs>
        <w:autoSpaceDE w:val="0"/>
        <w:autoSpaceDN w:val="0"/>
        <w:adjustRightInd w:val="0"/>
        <w:ind w:firstLine="284"/>
        <w:jc w:val="both"/>
      </w:pPr>
      <w:r w:rsidRPr="00F43D03">
        <w:t>-  Срок заключения договора:  не ранее чем через 10 дней с момента подписания протокола о результатах торгов.</w:t>
      </w:r>
    </w:p>
    <w:p w:rsidR="00A93772" w:rsidRPr="00F43D03" w:rsidRDefault="00A93772" w:rsidP="00A93772">
      <w:pPr>
        <w:widowControl w:val="0"/>
        <w:tabs>
          <w:tab w:val="left" w:pos="90"/>
        </w:tabs>
        <w:autoSpaceDE w:val="0"/>
        <w:autoSpaceDN w:val="0"/>
        <w:adjustRightInd w:val="0"/>
        <w:ind w:firstLine="284"/>
        <w:jc w:val="both"/>
        <w:rPr>
          <w:highlight w:val="lightGray"/>
        </w:rPr>
      </w:pPr>
    </w:p>
    <w:p w:rsidR="00A93772" w:rsidRPr="00F43D03" w:rsidRDefault="00A93772" w:rsidP="00A93772">
      <w:pPr>
        <w:widowControl w:val="0"/>
        <w:tabs>
          <w:tab w:val="left" w:pos="90"/>
        </w:tabs>
        <w:autoSpaceDE w:val="0"/>
        <w:autoSpaceDN w:val="0"/>
        <w:adjustRightInd w:val="0"/>
        <w:ind w:firstLine="284"/>
        <w:jc w:val="both"/>
      </w:pPr>
      <w:r w:rsidRPr="00F43D03">
        <w:t xml:space="preserve">Проект договора аренды (купли-продажи)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 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(купли-продажи) земельного участка на официальном сайте </w:t>
      </w:r>
      <w:r w:rsidRPr="00F43D03">
        <w:rPr>
          <w:rStyle w:val="blk3"/>
        </w:rPr>
        <w:t xml:space="preserve">Российской Федерации в информационно-телекоммуникационной сети "Интернет" </w:t>
      </w:r>
      <w:r w:rsidRPr="00F43D03">
        <w:rPr>
          <w:rStyle w:val="blk3"/>
          <w:lang w:val="en-US"/>
        </w:rPr>
        <w:t>www</w:t>
      </w:r>
      <w:r w:rsidRPr="00F43D03">
        <w:rPr>
          <w:rStyle w:val="blk3"/>
        </w:rPr>
        <w:t>.</w:t>
      </w:r>
      <w:r w:rsidRPr="00F43D03">
        <w:rPr>
          <w:rStyle w:val="blk3"/>
          <w:lang w:val="en-US"/>
        </w:rPr>
        <w:t>torgi</w:t>
      </w:r>
      <w:r w:rsidRPr="00F43D03">
        <w:rPr>
          <w:rStyle w:val="blk3"/>
        </w:rPr>
        <w:t>.</w:t>
      </w:r>
      <w:r w:rsidRPr="00F43D03">
        <w:rPr>
          <w:rStyle w:val="blk3"/>
          <w:lang w:val="en-US"/>
        </w:rPr>
        <w:t>gov</w:t>
      </w:r>
      <w:r w:rsidRPr="00F43D03">
        <w:rPr>
          <w:rStyle w:val="blk3"/>
        </w:rPr>
        <w:t>.</w:t>
      </w:r>
      <w:r w:rsidRPr="00F43D03">
        <w:rPr>
          <w:rStyle w:val="blk3"/>
          <w:lang w:val="en-US"/>
        </w:rPr>
        <w:t>ru</w:t>
      </w:r>
      <w:r w:rsidRPr="00F43D03">
        <w:rPr>
          <w:rStyle w:val="blk3"/>
        </w:rPr>
        <w:t>. Плата за получение информации не взимается.</w:t>
      </w:r>
    </w:p>
    <w:p w:rsidR="00A93772" w:rsidRPr="00F43D03" w:rsidRDefault="00A93772" w:rsidP="00A93772">
      <w:pPr>
        <w:ind w:firstLine="284"/>
        <w:jc w:val="both"/>
        <w:rPr>
          <w:rStyle w:val="blk3"/>
        </w:rPr>
      </w:pPr>
      <w:r w:rsidRPr="00F43D03">
        <w:rPr>
          <w:rStyle w:val="blk3"/>
        </w:rPr>
        <w:t xml:space="preserve">Для участия в торгах заявители представляют в установленный в извещении о проведении торгов срок следующие документы: </w:t>
      </w:r>
    </w:p>
    <w:p w:rsidR="00A93772" w:rsidRPr="00F43D03" w:rsidRDefault="00A93772" w:rsidP="00A93772">
      <w:pPr>
        <w:ind w:firstLine="284"/>
        <w:jc w:val="both"/>
      </w:pPr>
      <w:r w:rsidRPr="00F43D03">
        <w:rPr>
          <w:rStyle w:val="blk3"/>
        </w:rPr>
        <w:t>1) заявка на участие в торгах;</w:t>
      </w:r>
    </w:p>
    <w:p w:rsidR="00A93772" w:rsidRPr="00F43D03" w:rsidRDefault="00A93772" w:rsidP="00A93772">
      <w:pPr>
        <w:ind w:firstLine="284"/>
        <w:jc w:val="both"/>
      </w:pPr>
      <w:r w:rsidRPr="00F43D03">
        <w:rPr>
          <w:rStyle w:val="blk3"/>
        </w:rPr>
        <w:t>2) копии документов, удостоверяющих личность заявителя (для граждан);</w:t>
      </w:r>
    </w:p>
    <w:p w:rsidR="00A93772" w:rsidRPr="00F43D03" w:rsidRDefault="00A93772" w:rsidP="00A93772">
      <w:pPr>
        <w:ind w:firstLine="284"/>
        <w:jc w:val="both"/>
      </w:pPr>
      <w:r w:rsidRPr="00F43D03">
        <w:rPr>
          <w:rStyle w:val="blk3"/>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3772" w:rsidRPr="00F43D03" w:rsidRDefault="00A93772" w:rsidP="00A93772">
      <w:pPr>
        <w:ind w:firstLine="284"/>
        <w:jc w:val="both"/>
      </w:pPr>
      <w:r w:rsidRPr="00F43D03">
        <w:rPr>
          <w:rStyle w:val="blk3"/>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93772" w:rsidRPr="00F43D03" w:rsidRDefault="00A93772" w:rsidP="00A93772">
      <w:pPr>
        <w:widowControl w:val="0"/>
        <w:tabs>
          <w:tab w:val="left" w:pos="90"/>
        </w:tabs>
        <w:autoSpaceDE w:val="0"/>
        <w:autoSpaceDN w:val="0"/>
        <w:adjustRightInd w:val="0"/>
        <w:ind w:firstLine="284"/>
        <w:jc w:val="both"/>
      </w:pPr>
      <w:r w:rsidRPr="00F43D03">
        <w:t xml:space="preserve">Для участия в торгах по лотам № 1 – </w:t>
      </w:r>
      <w:r>
        <w:t>3</w:t>
      </w:r>
      <w:r w:rsidRPr="00F43D03">
        <w:t xml:space="preserve"> заявители вносят задаток по следующим реквизитам:</w:t>
      </w:r>
    </w:p>
    <w:p w:rsidR="00A93772" w:rsidRPr="00F43D03" w:rsidRDefault="00A93772" w:rsidP="00A93772">
      <w:pPr>
        <w:widowControl w:val="0"/>
        <w:tabs>
          <w:tab w:val="left" w:pos="90"/>
        </w:tabs>
        <w:autoSpaceDE w:val="0"/>
        <w:autoSpaceDN w:val="0"/>
        <w:adjustRightInd w:val="0"/>
        <w:ind w:firstLine="284"/>
        <w:jc w:val="both"/>
      </w:pPr>
      <w:r w:rsidRPr="00F43D03">
        <w:t>Расчетный счет получателя: 40101810700000010003</w:t>
      </w:r>
    </w:p>
    <w:p w:rsidR="00A93772" w:rsidRPr="00F43D03" w:rsidRDefault="00A93772" w:rsidP="00A93772">
      <w:pPr>
        <w:widowControl w:val="0"/>
        <w:tabs>
          <w:tab w:val="left" w:pos="90"/>
        </w:tabs>
        <w:autoSpaceDE w:val="0"/>
        <w:autoSpaceDN w:val="0"/>
        <w:adjustRightInd w:val="0"/>
        <w:ind w:firstLine="284"/>
        <w:jc w:val="both"/>
      </w:pPr>
      <w:r w:rsidRPr="00F43D03">
        <w:t>Банк получателя: Отделение Пермь г. Пермь</w:t>
      </w:r>
    </w:p>
    <w:p w:rsidR="00A93772" w:rsidRPr="00F43D03" w:rsidRDefault="00A93772" w:rsidP="00A93772">
      <w:pPr>
        <w:widowControl w:val="0"/>
        <w:tabs>
          <w:tab w:val="left" w:pos="90"/>
        </w:tabs>
        <w:autoSpaceDE w:val="0"/>
        <w:autoSpaceDN w:val="0"/>
        <w:adjustRightInd w:val="0"/>
        <w:ind w:firstLine="284"/>
        <w:jc w:val="both"/>
      </w:pPr>
      <w:r w:rsidRPr="00F43D03">
        <w:t>БИК 045773001</w:t>
      </w:r>
    </w:p>
    <w:p w:rsidR="00A93772" w:rsidRPr="00F43D03" w:rsidRDefault="00A93772" w:rsidP="00A93772">
      <w:pPr>
        <w:widowControl w:val="0"/>
        <w:tabs>
          <w:tab w:val="left" w:pos="90"/>
        </w:tabs>
        <w:autoSpaceDE w:val="0"/>
        <w:autoSpaceDN w:val="0"/>
        <w:adjustRightInd w:val="0"/>
        <w:ind w:firstLine="284"/>
        <w:jc w:val="both"/>
      </w:pPr>
      <w:r w:rsidRPr="00F43D03">
        <w:t>Получатель:</w:t>
      </w:r>
    </w:p>
    <w:p w:rsidR="00A93772" w:rsidRPr="00F43D03" w:rsidRDefault="00A93772" w:rsidP="00A93772">
      <w:pPr>
        <w:widowControl w:val="0"/>
        <w:tabs>
          <w:tab w:val="left" w:pos="90"/>
        </w:tabs>
        <w:autoSpaceDE w:val="0"/>
        <w:autoSpaceDN w:val="0"/>
        <w:adjustRightInd w:val="0"/>
        <w:ind w:firstLine="284"/>
        <w:jc w:val="both"/>
      </w:pPr>
      <w:r w:rsidRPr="00F43D03">
        <w:t xml:space="preserve">ИНН 5911000188/ КПП 591101001 </w:t>
      </w:r>
    </w:p>
    <w:p w:rsidR="00A93772" w:rsidRPr="00F43D03" w:rsidRDefault="00A93772" w:rsidP="00A93772">
      <w:pPr>
        <w:widowControl w:val="0"/>
        <w:tabs>
          <w:tab w:val="left" w:pos="90"/>
        </w:tabs>
        <w:autoSpaceDE w:val="0"/>
        <w:autoSpaceDN w:val="0"/>
        <w:adjustRightInd w:val="0"/>
        <w:ind w:firstLine="284"/>
        <w:jc w:val="both"/>
      </w:pPr>
      <w:r w:rsidRPr="00F43D03">
        <w:t>УФК по Пермскому краю (Управление имущественных и земельных отношений администрации г. Березники)</w:t>
      </w:r>
    </w:p>
    <w:p w:rsidR="00A93772" w:rsidRPr="00F43D03" w:rsidRDefault="00A93772" w:rsidP="00A93772">
      <w:pPr>
        <w:widowControl w:val="0"/>
        <w:tabs>
          <w:tab w:val="left" w:pos="90"/>
        </w:tabs>
        <w:autoSpaceDE w:val="0"/>
        <w:autoSpaceDN w:val="0"/>
        <w:adjustRightInd w:val="0"/>
        <w:ind w:firstLine="284"/>
        <w:jc w:val="both"/>
      </w:pPr>
      <w:r w:rsidRPr="00F43D03">
        <w:t>ОКТМО 57708000</w:t>
      </w:r>
    </w:p>
    <w:p w:rsidR="00A93772" w:rsidRPr="00F43D03" w:rsidRDefault="00A93772" w:rsidP="00A93772">
      <w:pPr>
        <w:widowControl w:val="0"/>
        <w:tabs>
          <w:tab w:val="left" w:pos="90"/>
        </w:tabs>
        <w:autoSpaceDE w:val="0"/>
        <w:autoSpaceDN w:val="0"/>
        <w:adjustRightInd w:val="0"/>
        <w:ind w:firstLine="284"/>
        <w:jc w:val="both"/>
        <w:rPr>
          <w:b/>
        </w:rPr>
      </w:pPr>
      <w:r w:rsidRPr="00F43D03">
        <w:rPr>
          <w:b/>
        </w:rPr>
        <w:t>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A93772" w:rsidRPr="00F43D03" w:rsidRDefault="00A93772" w:rsidP="00A93772">
      <w:pPr>
        <w:widowControl w:val="0"/>
        <w:tabs>
          <w:tab w:val="left" w:pos="90"/>
        </w:tabs>
        <w:autoSpaceDE w:val="0"/>
        <w:autoSpaceDN w:val="0"/>
        <w:adjustRightInd w:val="0"/>
        <w:ind w:firstLine="284"/>
        <w:jc w:val="both"/>
      </w:pPr>
      <w:r w:rsidRPr="00F43D03">
        <w:t xml:space="preserve">Для участия в торгах по лотам № </w:t>
      </w:r>
      <w:r>
        <w:t>4</w:t>
      </w:r>
      <w:r w:rsidRPr="00F43D03">
        <w:t xml:space="preserve"> – 7 заявители вносят задаток по следующим реквизитам:</w:t>
      </w:r>
    </w:p>
    <w:p w:rsidR="00A93772" w:rsidRPr="00F43D03" w:rsidRDefault="00A93772" w:rsidP="00A93772">
      <w:pPr>
        <w:widowControl w:val="0"/>
        <w:tabs>
          <w:tab w:val="left" w:pos="90"/>
        </w:tabs>
        <w:autoSpaceDE w:val="0"/>
        <w:autoSpaceDN w:val="0"/>
        <w:adjustRightInd w:val="0"/>
        <w:ind w:firstLine="284"/>
        <w:jc w:val="both"/>
      </w:pPr>
      <w:r w:rsidRPr="00F43D03">
        <w:t>Расчетный счет получателя: 40101810700000010003</w:t>
      </w:r>
    </w:p>
    <w:p w:rsidR="00A93772" w:rsidRPr="00F43D03" w:rsidRDefault="00A93772" w:rsidP="00A93772">
      <w:pPr>
        <w:widowControl w:val="0"/>
        <w:tabs>
          <w:tab w:val="left" w:pos="90"/>
        </w:tabs>
        <w:autoSpaceDE w:val="0"/>
        <w:autoSpaceDN w:val="0"/>
        <w:adjustRightInd w:val="0"/>
        <w:ind w:firstLine="284"/>
        <w:jc w:val="both"/>
      </w:pPr>
      <w:r w:rsidRPr="00F43D03">
        <w:t>Банк получателя: Отделение Пермь г. Пермь</w:t>
      </w:r>
    </w:p>
    <w:p w:rsidR="00A93772" w:rsidRPr="00F43D03" w:rsidRDefault="00A93772" w:rsidP="00A93772">
      <w:pPr>
        <w:widowControl w:val="0"/>
        <w:tabs>
          <w:tab w:val="left" w:pos="90"/>
        </w:tabs>
        <w:autoSpaceDE w:val="0"/>
        <w:autoSpaceDN w:val="0"/>
        <w:adjustRightInd w:val="0"/>
        <w:ind w:firstLine="284"/>
        <w:jc w:val="both"/>
      </w:pPr>
      <w:r w:rsidRPr="00F43D03">
        <w:t>БИК 045773001</w:t>
      </w:r>
    </w:p>
    <w:p w:rsidR="00A93772" w:rsidRPr="00F43D03" w:rsidRDefault="00A93772" w:rsidP="00A93772">
      <w:pPr>
        <w:widowControl w:val="0"/>
        <w:tabs>
          <w:tab w:val="left" w:pos="90"/>
        </w:tabs>
        <w:autoSpaceDE w:val="0"/>
        <w:autoSpaceDN w:val="0"/>
        <w:adjustRightInd w:val="0"/>
        <w:ind w:firstLine="284"/>
        <w:jc w:val="both"/>
      </w:pPr>
      <w:r w:rsidRPr="00F43D03">
        <w:t>Получатель:</w:t>
      </w:r>
    </w:p>
    <w:p w:rsidR="00A93772" w:rsidRPr="00F43D03" w:rsidRDefault="00A93772" w:rsidP="00A93772">
      <w:pPr>
        <w:widowControl w:val="0"/>
        <w:tabs>
          <w:tab w:val="left" w:pos="90"/>
        </w:tabs>
        <w:autoSpaceDE w:val="0"/>
        <w:autoSpaceDN w:val="0"/>
        <w:adjustRightInd w:val="0"/>
        <w:ind w:firstLine="284"/>
        <w:jc w:val="both"/>
      </w:pPr>
      <w:r w:rsidRPr="00F43D03">
        <w:t xml:space="preserve">ИНН 5911000188/ КПП 591101001 </w:t>
      </w:r>
    </w:p>
    <w:p w:rsidR="00A93772" w:rsidRPr="00F43D03" w:rsidRDefault="00A93772" w:rsidP="00A93772">
      <w:pPr>
        <w:widowControl w:val="0"/>
        <w:tabs>
          <w:tab w:val="left" w:pos="90"/>
        </w:tabs>
        <w:autoSpaceDE w:val="0"/>
        <w:autoSpaceDN w:val="0"/>
        <w:adjustRightInd w:val="0"/>
        <w:ind w:firstLine="284"/>
        <w:jc w:val="both"/>
      </w:pPr>
      <w:r w:rsidRPr="00F43D03">
        <w:t>УФК по Пермскому краю (Управление имущественных и земельных отношений администрации г. Березники)</w:t>
      </w:r>
    </w:p>
    <w:p w:rsidR="00A93772" w:rsidRPr="00F43D03" w:rsidRDefault="00A93772" w:rsidP="00A93772">
      <w:pPr>
        <w:widowControl w:val="0"/>
        <w:tabs>
          <w:tab w:val="left" w:pos="90"/>
        </w:tabs>
        <w:autoSpaceDE w:val="0"/>
        <w:autoSpaceDN w:val="0"/>
        <w:adjustRightInd w:val="0"/>
        <w:ind w:firstLine="284"/>
        <w:jc w:val="both"/>
      </w:pPr>
      <w:r w:rsidRPr="00F43D03">
        <w:t>ОКТМО 57708000</w:t>
      </w:r>
    </w:p>
    <w:p w:rsidR="00A93772" w:rsidRPr="00F43D03" w:rsidRDefault="00A93772" w:rsidP="00A93772">
      <w:pPr>
        <w:pStyle w:val="21"/>
        <w:ind w:right="-1" w:firstLine="284"/>
        <w:rPr>
          <w:b w:val="0"/>
          <w:sz w:val="20"/>
        </w:rPr>
      </w:pPr>
      <w:r w:rsidRPr="00F43D03">
        <w:rPr>
          <w:b w:val="0"/>
          <w:sz w:val="20"/>
        </w:rPr>
        <w:t>КБК 928 1 14 06012 04 0000 430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rsidR="00A93772" w:rsidRPr="00F43D03" w:rsidRDefault="00A93772" w:rsidP="00A93772">
      <w:pPr>
        <w:pStyle w:val="21"/>
        <w:ind w:right="-1" w:firstLine="284"/>
        <w:rPr>
          <w:b w:val="0"/>
          <w:sz w:val="20"/>
        </w:rPr>
      </w:pPr>
      <w:r w:rsidRPr="00F43D03">
        <w:rPr>
          <w:b w:val="0"/>
          <w:sz w:val="20"/>
        </w:rPr>
        <w:t>Задаток, перечисленный победителем торгов, засчитывается в счет расчетов по оплате предмета торгов. Задаток участников торгов, не выигравших торги, возвращается на расчетный счет участников на основании заявления на возврат денег в управление имущественных и земельных отношений администрации города Березники (пр. Советский, 39).</w:t>
      </w:r>
    </w:p>
    <w:p w:rsidR="00A93772" w:rsidRPr="00F43D03" w:rsidRDefault="00A93772" w:rsidP="00A93772">
      <w:pPr>
        <w:widowControl w:val="0"/>
        <w:tabs>
          <w:tab w:val="left" w:pos="90"/>
        </w:tabs>
        <w:autoSpaceDE w:val="0"/>
        <w:autoSpaceDN w:val="0"/>
        <w:adjustRightInd w:val="0"/>
        <w:ind w:firstLine="284"/>
        <w:jc w:val="both"/>
      </w:pPr>
      <w:r w:rsidRPr="00F43D03">
        <w:t>Установить для лотов «шаг аукциона» в размере 3 % от начальной цены предмета торгов.</w:t>
      </w:r>
    </w:p>
    <w:p w:rsidR="00A93772" w:rsidRPr="00F43D03" w:rsidRDefault="00A93772" w:rsidP="00A93772">
      <w:pPr>
        <w:widowControl w:val="0"/>
        <w:tabs>
          <w:tab w:val="left" w:pos="90"/>
        </w:tabs>
        <w:autoSpaceDE w:val="0"/>
        <w:autoSpaceDN w:val="0"/>
        <w:adjustRightInd w:val="0"/>
        <w:ind w:firstLine="284"/>
        <w:jc w:val="both"/>
      </w:pPr>
      <w:r w:rsidRPr="00F43D03">
        <w:t>Особым условием для победителя торгов по лотам установить:</w:t>
      </w:r>
    </w:p>
    <w:p w:rsidR="00A93772" w:rsidRPr="00F43D03" w:rsidRDefault="00A93772" w:rsidP="00A93772">
      <w:pPr>
        <w:widowControl w:val="0"/>
        <w:tabs>
          <w:tab w:val="left" w:pos="90"/>
        </w:tabs>
        <w:autoSpaceDE w:val="0"/>
        <w:autoSpaceDN w:val="0"/>
        <w:adjustRightInd w:val="0"/>
        <w:ind w:firstLine="284"/>
        <w:jc w:val="both"/>
      </w:pPr>
      <w:r w:rsidRPr="00F43D03">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A93772" w:rsidRPr="00F43D03" w:rsidRDefault="00A93772" w:rsidP="00A93772">
      <w:pPr>
        <w:widowControl w:val="0"/>
        <w:tabs>
          <w:tab w:val="left" w:pos="90"/>
        </w:tabs>
        <w:autoSpaceDE w:val="0"/>
        <w:autoSpaceDN w:val="0"/>
        <w:adjustRightInd w:val="0"/>
        <w:ind w:firstLine="284"/>
        <w:jc w:val="both"/>
      </w:pPr>
      <w:r w:rsidRPr="00F43D03">
        <w:t xml:space="preserve">- подписание итогового протокола о результатах торгов в день подведения итогов торгов. </w:t>
      </w:r>
    </w:p>
    <w:p w:rsidR="00A93772" w:rsidRPr="00F43D03" w:rsidRDefault="00A93772" w:rsidP="00A93772">
      <w:pPr>
        <w:widowControl w:val="0"/>
        <w:tabs>
          <w:tab w:val="left" w:pos="90"/>
        </w:tabs>
        <w:autoSpaceDE w:val="0"/>
        <w:autoSpaceDN w:val="0"/>
        <w:adjustRightInd w:val="0"/>
        <w:ind w:firstLine="284"/>
        <w:jc w:val="both"/>
      </w:pPr>
      <w:r w:rsidRPr="00F43D03">
        <w:t>Аукцион проводится в порядке, установленном статьей 39.12 Земельного кодекса РФ.</w:t>
      </w:r>
    </w:p>
    <w:p w:rsidR="00A93772" w:rsidRPr="00F43D03" w:rsidRDefault="00A93772" w:rsidP="00A93772">
      <w:pPr>
        <w:widowControl w:val="0"/>
        <w:tabs>
          <w:tab w:val="left" w:pos="90"/>
        </w:tabs>
        <w:autoSpaceDE w:val="0"/>
        <w:autoSpaceDN w:val="0"/>
        <w:adjustRightInd w:val="0"/>
        <w:ind w:firstLine="284"/>
        <w:jc w:val="both"/>
      </w:pPr>
      <w:r w:rsidRPr="00F43D03">
        <w:t>Критерием выявления победителя по лотам установлен наибольший предложенный размер предмета торгов.</w:t>
      </w:r>
    </w:p>
    <w:p w:rsidR="00A93772" w:rsidRPr="00F43D03" w:rsidRDefault="00A93772" w:rsidP="00A93772">
      <w:pPr>
        <w:widowControl w:val="0"/>
        <w:tabs>
          <w:tab w:val="left" w:pos="90"/>
        </w:tabs>
        <w:autoSpaceDE w:val="0"/>
        <w:autoSpaceDN w:val="0"/>
        <w:adjustRightInd w:val="0"/>
        <w:ind w:firstLine="284"/>
        <w:jc w:val="both"/>
      </w:pPr>
      <w:r w:rsidRPr="00F43D03">
        <w:t>Особо установлено, что размер ежегодной арендной платы за земельный участок может  быть увеличен на основании Федерального Закона, Постановления Правительства РФ, решения субъекта Федерации  об индексации ставок арендной платы за землю, но не чаще одного раза в год.</w:t>
      </w:r>
    </w:p>
    <w:p w:rsidR="00A93772" w:rsidRPr="005F5E98" w:rsidRDefault="00A93772" w:rsidP="00A93772">
      <w:pPr>
        <w:pStyle w:val="3"/>
        <w:tabs>
          <w:tab w:val="left" w:pos="90"/>
        </w:tabs>
        <w:ind w:firstLine="284"/>
      </w:pPr>
    </w:p>
    <w:p w:rsidR="006A52AB" w:rsidRDefault="006A52AB"/>
    <w:sectPr w:rsidR="006A52AB">
      <w:pgSz w:w="11906" w:h="16838"/>
      <w:pgMar w:top="397" w:right="567" w:bottom="41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2FF" w:rsidRDefault="005522FF" w:rsidP="00A93772">
      <w:r>
        <w:separator/>
      </w:r>
    </w:p>
  </w:endnote>
  <w:endnote w:type="continuationSeparator" w:id="1">
    <w:p w:rsidR="005522FF" w:rsidRDefault="005522FF" w:rsidP="00A93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2FF" w:rsidRDefault="005522FF" w:rsidP="00A93772">
      <w:r>
        <w:separator/>
      </w:r>
    </w:p>
  </w:footnote>
  <w:footnote w:type="continuationSeparator" w:id="1">
    <w:p w:rsidR="005522FF" w:rsidRDefault="005522FF" w:rsidP="00A93772">
      <w:r>
        <w:continuationSeparator/>
      </w:r>
    </w:p>
  </w:footnote>
  <w:footnote w:id="2">
    <w:p w:rsidR="00A93772" w:rsidRDefault="00A93772" w:rsidP="00A93772">
      <w:pPr>
        <w:pStyle w:val="a5"/>
      </w:pPr>
      <w:r>
        <w:rPr>
          <w:rStyle w:val="a7"/>
        </w:rPr>
        <w:footnoteRef/>
      </w:r>
      <w:r>
        <w:t xml:space="preserve"> Существующие здания, имеющие высоту более </w:t>
      </w:r>
      <w:smartTag w:uri="urn:schemas-microsoft-com:office:smarttags" w:element="metricconverter">
        <w:smartTagPr>
          <w:attr w:name="ProductID" w:val="15 метров"/>
        </w:smartTagPr>
        <w:r>
          <w:t>15 метров</w:t>
        </w:r>
      </w:smartTag>
      <w:r>
        <w:t>, являются разрешенными по отношению к зоне Ж-1.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93772"/>
    <w:rsid w:val="005522FF"/>
    <w:rsid w:val="00557C70"/>
    <w:rsid w:val="006A52AB"/>
    <w:rsid w:val="008F4954"/>
    <w:rsid w:val="00A93772"/>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3772"/>
    <w:pPr>
      <w:ind w:firstLine="720"/>
      <w:jc w:val="center"/>
    </w:pPr>
    <w:rPr>
      <w:b/>
      <w:sz w:val="24"/>
    </w:rPr>
  </w:style>
  <w:style w:type="character" w:customStyle="1" w:styleId="a4">
    <w:name w:val="Название Знак"/>
    <w:basedOn w:val="a0"/>
    <w:link w:val="a3"/>
    <w:rsid w:val="00A93772"/>
    <w:rPr>
      <w:rFonts w:ascii="Times New Roman" w:eastAsia="Times New Roman" w:hAnsi="Times New Roman" w:cs="Times New Roman"/>
      <w:b/>
      <w:sz w:val="24"/>
      <w:szCs w:val="20"/>
      <w:lang w:eastAsia="ru-RU"/>
    </w:rPr>
  </w:style>
  <w:style w:type="paragraph" w:styleId="2">
    <w:name w:val="Body Text Indent 2"/>
    <w:basedOn w:val="a"/>
    <w:link w:val="20"/>
    <w:rsid w:val="00A93772"/>
    <w:pPr>
      <w:ind w:firstLine="709"/>
    </w:pPr>
    <w:rPr>
      <w:sz w:val="28"/>
    </w:rPr>
  </w:style>
  <w:style w:type="character" w:customStyle="1" w:styleId="20">
    <w:name w:val="Основной текст с отступом 2 Знак"/>
    <w:basedOn w:val="a0"/>
    <w:link w:val="2"/>
    <w:rsid w:val="00A93772"/>
    <w:rPr>
      <w:rFonts w:ascii="Times New Roman" w:eastAsia="Times New Roman" w:hAnsi="Times New Roman" w:cs="Times New Roman"/>
      <w:sz w:val="28"/>
      <w:szCs w:val="20"/>
      <w:lang w:eastAsia="ru-RU"/>
    </w:rPr>
  </w:style>
  <w:style w:type="paragraph" w:styleId="21">
    <w:name w:val="Body Text 2"/>
    <w:basedOn w:val="a"/>
    <w:link w:val="22"/>
    <w:rsid w:val="00A93772"/>
    <w:pPr>
      <w:jc w:val="both"/>
    </w:pPr>
    <w:rPr>
      <w:b/>
      <w:sz w:val="28"/>
    </w:rPr>
  </w:style>
  <w:style w:type="character" w:customStyle="1" w:styleId="22">
    <w:name w:val="Основной текст 2 Знак"/>
    <w:basedOn w:val="a0"/>
    <w:link w:val="21"/>
    <w:rsid w:val="00A93772"/>
    <w:rPr>
      <w:rFonts w:ascii="Times New Roman" w:eastAsia="Times New Roman" w:hAnsi="Times New Roman" w:cs="Times New Roman"/>
      <w:b/>
      <w:sz w:val="28"/>
      <w:szCs w:val="20"/>
      <w:lang w:eastAsia="ru-RU"/>
    </w:rPr>
  </w:style>
  <w:style w:type="paragraph" w:styleId="3">
    <w:name w:val="Body Text Indent 3"/>
    <w:basedOn w:val="a"/>
    <w:link w:val="30"/>
    <w:rsid w:val="00A93772"/>
    <w:pPr>
      <w:ind w:firstLine="720"/>
      <w:jc w:val="both"/>
    </w:pPr>
    <w:rPr>
      <w:sz w:val="28"/>
    </w:rPr>
  </w:style>
  <w:style w:type="character" w:customStyle="1" w:styleId="30">
    <w:name w:val="Основной текст с отступом 3 Знак"/>
    <w:basedOn w:val="a0"/>
    <w:link w:val="3"/>
    <w:rsid w:val="00A93772"/>
    <w:rPr>
      <w:rFonts w:ascii="Times New Roman" w:eastAsia="Times New Roman" w:hAnsi="Times New Roman" w:cs="Times New Roman"/>
      <w:sz w:val="28"/>
      <w:szCs w:val="20"/>
      <w:lang w:eastAsia="ru-RU"/>
    </w:rPr>
  </w:style>
  <w:style w:type="paragraph" w:customStyle="1" w:styleId="ConsNormal">
    <w:name w:val="ConsNormal"/>
    <w:rsid w:val="00A937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lk3">
    <w:name w:val="blk3"/>
    <w:basedOn w:val="a0"/>
    <w:rsid w:val="00A93772"/>
    <w:rPr>
      <w:vanish w:val="0"/>
      <w:webHidden w:val="0"/>
      <w:specVanish w:val="0"/>
    </w:rPr>
  </w:style>
  <w:style w:type="paragraph" w:styleId="a5">
    <w:name w:val="footnote text"/>
    <w:basedOn w:val="a"/>
    <w:link w:val="a6"/>
    <w:semiHidden/>
    <w:rsid w:val="00A93772"/>
  </w:style>
  <w:style w:type="character" w:customStyle="1" w:styleId="a6">
    <w:name w:val="Текст сноски Знак"/>
    <w:basedOn w:val="a0"/>
    <w:link w:val="a5"/>
    <w:semiHidden/>
    <w:rsid w:val="00A93772"/>
    <w:rPr>
      <w:rFonts w:ascii="Times New Roman" w:eastAsia="Times New Roman" w:hAnsi="Times New Roman" w:cs="Times New Roman"/>
      <w:sz w:val="20"/>
      <w:szCs w:val="20"/>
      <w:lang w:eastAsia="ru-RU"/>
    </w:rPr>
  </w:style>
  <w:style w:type="character" w:styleId="a7">
    <w:name w:val="footnote reference"/>
    <w:basedOn w:val="a0"/>
    <w:semiHidden/>
    <w:rsid w:val="00A93772"/>
    <w:rPr>
      <w:vertAlign w:val="superscript"/>
    </w:rPr>
  </w:style>
  <w:style w:type="paragraph" w:customStyle="1" w:styleId="Style2">
    <w:name w:val="Style2"/>
    <w:basedOn w:val="a"/>
    <w:rsid w:val="00A93772"/>
    <w:pPr>
      <w:widowControl w:val="0"/>
      <w:autoSpaceDE w:val="0"/>
      <w:autoSpaceDN w:val="0"/>
      <w:adjustRightInd w:val="0"/>
    </w:pPr>
    <w:rPr>
      <w:sz w:val="24"/>
      <w:szCs w:val="24"/>
    </w:rPr>
  </w:style>
  <w:style w:type="paragraph" w:customStyle="1" w:styleId="ConsPlusNormal">
    <w:name w:val="ConsPlusNormal"/>
    <w:rsid w:val="00A93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2814</Words>
  <Characters>16046</Characters>
  <Application>Microsoft Office Word</Application>
  <DocSecurity>0</DocSecurity>
  <Lines>133</Lines>
  <Paragraphs>37</Paragraphs>
  <ScaleCrop>false</ScaleCrop>
  <Company/>
  <LinksUpToDate>false</LinksUpToDate>
  <CharactersWithSpaces>18823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2015-11-09T10:45:00Z</dcterms:created>
  <dcterms:modified xsi:type="dcterms:W3CDTF">2015-11-09T10:45:00Z</dcterms:modified>
</cp:coreProperties>
</file>