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EC" w:rsidRPr="000E2BF6" w:rsidRDefault="002D28EC" w:rsidP="002D28EC">
      <w:pPr>
        <w:pStyle w:val="a3"/>
        <w:ind w:firstLine="540"/>
        <w:rPr>
          <w:sz w:val="20"/>
        </w:rPr>
      </w:pPr>
      <w:r w:rsidRPr="000E2BF6">
        <w:rPr>
          <w:sz w:val="20"/>
        </w:rPr>
        <w:t xml:space="preserve">УПРАВЛЕНИЕ ИМУЩЕСТВЕННЫХ И ЗЕМЕЛЬНЫХ ОТНОШЕНИЙ </w:t>
      </w:r>
    </w:p>
    <w:p w:rsidR="002D28EC" w:rsidRPr="000E2BF6" w:rsidRDefault="002D28EC" w:rsidP="002D28EC">
      <w:pPr>
        <w:pStyle w:val="a3"/>
        <w:ind w:firstLine="540"/>
        <w:rPr>
          <w:sz w:val="20"/>
        </w:rPr>
      </w:pPr>
      <w:r w:rsidRPr="000E2BF6">
        <w:rPr>
          <w:sz w:val="20"/>
        </w:rPr>
        <w:t>АДМИНИСТРАЦИИ ГОРОДА БЕРЕЗНИКИ</w:t>
      </w:r>
    </w:p>
    <w:p w:rsidR="002D28EC" w:rsidRPr="000E2BF6" w:rsidRDefault="002D28EC" w:rsidP="002D28EC">
      <w:pPr>
        <w:ind w:firstLine="540"/>
        <w:jc w:val="center"/>
        <w:rPr>
          <w:b/>
          <w:sz w:val="20"/>
          <w:szCs w:val="20"/>
        </w:rPr>
      </w:pPr>
      <w:r w:rsidRPr="000E2BF6">
        <w:rPr>
          <w:b/>
          <w:sz w:val="20"/>
          <w:szCs w:val="20"/>
        </w:rPr>
        <w:t xml:space="preserve">на основании решений заседания комиссии по продаже земельных участков и прав их аренды </w:t>
      </w:r>
    </w:p>
    <w:p w:rsidR="002D28EC" w:rsidRPr="000E2BF6" w:rsidRDefault="002D28EC" w:rsidP="002D28EC">
      <w:pPr>
        <w:ind w:firstLine="540"/>
        <w:jc w:val="center"/>
        <w:rPr>
          <w:b/>
          <w:sz w:val="20"/>
          <w:szCs w:val="20"/>
        </w:rPr>
      </w:pPr>
      <w:r w:rsidRPr="000E2BF6">
        <w:rPr>
          <w:b/>
          <w:sz w:val="20"/>
          <w:szCs w:val="20"/>
        </w:rPr>
        <w:t>от 23 мая 2016 года</w:t>
      </w:r>
    </w:p>
    <w:p w:rsidR="002D28EC" w:rsidRPr="000E2BF6" w:rsidRDefault="002D28EC" w:rsidP="002D28EC">
      <w:pPr>
        <w:ind w:firstLine="540"/>
        <w:jc w:val="center"/>
        <w:rPr>
          <w:b/>
          <w:sz w:val="20"/>
          <w:szCs w:val="20"/>
        </w:rPr>
      </w:pPr>
      <w:r w:rsidRPr="000E2BF6">
        <w:rPr>
          <w:b/>
          <w:sz w:val="20"/>
          <w:szCs w:val="20"/>
        </w:rPr>
        <w:t>сообщает о проведении торгов по продаже прав на земельные участки</w:t>
      </w:r>
    </w:p>
    <w:p w:rsidR="002D28EC" w:rsidRPr="000E2BF6" w:rsidRDefault="002D28EC" w:rsidP="002D28EC">
      <w:pPr>
        <w:ind w:firstLine="540"/>
        <w:jc w:val="both"/>
        <w:rPr>
          <w:b/>
          <w:sz w:val="20"/>
          <w:szCs w:val="20"/>
        </w:rPr>
      </w:pPr>
    </w:p>
    <w:p w:rsidR="002D28EC" w:rsidRPr="000E2BF6" w:rsidRDefault="002D28EC" w:rsidP="002D28EC">
      <w:pPr>
        <w:ind w:firstLine="540"/>
        <w:jc w:val="both"/>
        <w:rPr>
          <w:b/>
          <w:sz w:val="20"/>
          <w:szCs w:val="20"/>
        </w:rPr>
      </w:pPr>
      <w:r w:rsidRPr="000E2BF6">
        <w:rPr>
          <w:b/>
          <w:sz w:val="20"/>
          <w:szCs w:val="20"/>
        </w:rPr>
        <w:t>Для продажи на торгах предлагаются следующие лоты:</w:t>
      </w:r>
    </w:p>
    <w:p w:rsidR="002D28EC" w:rsidRPr="000E2BF6" w:rsidRDefault="002D28EC" w:rsidP="002D28EC">
      <w:pPr>
        <w:pStyle w:val="3"/>
        <w:spacing w:after="0"/>
        <w:ind w:firstLine="284"/>
        <w:rPr>
          <w:b/>
          <w:sz w:val="20"/>
          <w:szCs w:val="20"/>
        </w:rPr>
      </w:pPr>
    </w:p>
    <w:p w:rsidR="002D28EC" w:rsidRPr="000E2BF6" w:rsidRDefault="002D28EC" w:rsidP="002D28EC">
      <w:pPr>
        <w:ind w:firstLine="284"/>
        <w:jc w:val="both"/>
        <w:rPr>
          <w:sz w:val="20"/>
          <w:szCs w:val="20"/>
        </w:rPr>
      </w:pPr>
      <w:r w:rsidRPr="000E2BF6">
        <w:rPr>
          <w:b/>
          <w:sz w:val="20"/>
          <w:szCs w:val="20"/>
        </w:rPr>
        <w:t>Лот № 2.</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59:03:1000001:3173 площадью 2500 кв.м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10. Срок аренды – 7 лет.</w:t>
      </w:r>
    </w:p>
    <w:p w:rsidR="002D28EC" w:rsidRPr="000E2BF6" w:rsidRDefault="002D28EC" w:rsidP="002D28E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2D28EC" w:rsidRPr="000E2BF6" w:rsidRDefault="002D28EC" w:rsidP="002D28E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2D28EC" w:rsidRPr="000E2BF6" w:rsidRDefault="002D28EC" w:rsidP="002D28EC">
      <w:pPr>
        <w:ind w:firstLine="284"/>
        <w:jc w:val="both"/>
        <w:rPr>
          <w:b/>
          <w:sz w:val="20"/>
          <w:szCs w:val="20"/>
        </w:rPr>
      </w:pPr>
      <w:r w:rsidRPr="000E2BF6">
        <w:rPr>
          <w:b/>
          <w:sz w:val="20"/>
          <w:szCs w:val="20"/>
        </w:rPr>
        <w:t>Сумма задатка: 20 % от начальной цены предмета торгов – 30 000,00 руб.</w:t>
      </w:r>
    </w:p>
    <w:p w:rsidR="002D28EC" w:rsidRPr="000E2BF6" w:rsidRDefault="002D28EC" w:rsidP="002D28EC">
      <w:pPr>
        <w:tabs>
          <w:tab w:val="num" w:pos="1128"/>
        </w:tabs>
        <w:ind w:firstLine="284"/>
        <w:jc w:val="both"/>
        <w:rPr>
          <w:b/>
          <w:sz w:val="20"/>
          <w:szCs w:val="20"/>
        </w:rPr>
      </w:pPr>
      <w:r w:rsidRPr="000E2BF6">
        <w:rPr>
          <w:b/>
          <w:sz w:val="20"/>
          <w:szCs w:val="20"/>
        </w:rPr>
        <w:t xml:space="preserve">Предельные параметры земельных участков и объектов капитального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2D28EC" w:rsidRPr="000E2BF6" w:rsidTr="00860E88">
        <w:tc>
          <w:tcPr>
            <w:tcW w:w="828"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кв.м</w:t>
            </w:r>
          </w:p>
        </w:tc>
        <w:tc>
          <w:tcPr>
            <w:tcW w:w="2160"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застройки, %</w:t>
            </w:r>
          </w:p>
        </w:tc>
      </w:tr>
      <w:tr w:rsidR="002D28EC" w:rsidRPr="000E2BF6" w:rsidTr="00860E88">
        <w:tc>
          <w:tcPr>
            <w:tcW w:w="828" w:type="dxa"/>
            <w:vMerge/>
          </w:tcPr>
          <w:p w:rsidR="002D28EC" w:rsidRPr="000E2BF6" w:rsidRDefault="002D28EC" w:rsidP="00860E88">
            <w:pPr>
              <w:pStyle w:val="ConsNormal"/>
              <w:widowControl/>
              <w:ind w:right="0" w:firstLine="284"/>
              <w:jc w:val="center"/>
              <w:rPr>
                <w:rFonts w:ascii="Times New Roman" w:hAnsi="Times New Roman" w:cs="Times New Roman"/>
              </w:rPr>
            </w:pPr>
          </w:p>
        </w:tc>
        <w:tc>
          <w:tcPr>
            <w:tcW w:w="1728"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2D28EC" w:rsidRPr="000E2BF6" w:rsidRDefault="002D28EC" w:rsidP="00860E88">
            <w:pPr>
              <w:pStyle w:val="ConsNormal"/>
              <w:widowControl/>
              <w:ind w:right="0" w:firstLine="284"/>
              <w:jc w:val="center"/>
              <w:rPr>
                <w:rFonts w:ascii="Times New Roman" w:hAnsi="Times New Roman" w:cs="Times New Roman"/>
              </w:rPr>
            </w:pPr>
          </w:p>
        </w:tc>
      </w:tr>
      <w:tr w:rsidR="002D28EC" w:rsidRPr="000E2BF6" w:rsidTr="00860E88">
        <w:tc>
          <w:tcPr>
            <w:tcW w:w="8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2D28EC" w:rsidRPr="000E2BF6" w:rsidRDefault="002D28EC" w:rsidP="002D28E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1.3. информация о подключении: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 «грс-4 – мик/н Усольский» с установкой пункта редуцирования газа;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трансгаз Чайковский» техническую возможность подачи газа на объект магистральным газопроводом и ГРС-4 (Пыскор);</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2D28EC" w:rsidRPr="000E2BF6" w:rsidRDefault="002D28EC" w:rsidP="002D28EC">
      <w:pPr>
        <w:pStyle w:val="3"/>
        <w:spacing w:after="0"/>
        <w:ind w:firstLine="284"/>
        <w:rPr>
          <w:sz w:val="20"/>
          <w:szCs w:val="20"/>
        </w:rPr>
      </w:pPr>
    </w:p>
    <w:p w:rsidR="002D28EC" w:rsidRPr="000E2BF6" w:rsidRDefault="002D28EC" w:rsidP="002D28EC">
      <w:pPr>
        <w:ind w:firstLine="284"/>
        <w:jc w:val="both"/>
        <w:rPr>
          <w:sz w:val="20"/>
          <w:szCs w:val="20"/>
        </w:rPr>
      </w:pPr>
      <w:r w:rsidRPr="000E2BF6">
        <w:rPr>
          <w:b/>
          <w:sz w:val="20"/>
          <w:szCs w:val="20"/>
        </w:rPr>
        <w:t xml:space="preserve">Лот № 3. </w:t>
      </w:r>
      <w:r w:rsidRPr="000E2BF6">
        <w:rPr>
          <w:sz w:val="20"/>
          <w:szCs w:val="20"/>
        </w:rPr>
        <w:t>Право заключения договора аренды земельного участка (категория земель – земли населенных пунктов) с кадастровым номером 59:03:1000001:3176 площадью 2540 кв.м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10. Срок аренды – 7 лет.</w:t>
      </w:r>
    </w:p>
    <w:p w:rsidR="002D28EC" w:rsidRPr="000E2BF6" w:rsidRDefault="002D28EC" w:rsidP="002D28E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2D28EC" w:rsidRPr="000E2BF6" w:rsidRDefault="002D28EC" w:rsidP="002D28EC">
      <w:pPr>
        <w:pStyle w:val="ConsPlusNormal"/>
        <w:ind w:firstLine="284"/>
        <w:jc w:val="both"/>
        <w:rPr>
          <w:rFonts w:ascii="Times New Roman" w:hAnsi="Times New Roman" w:cs="Times New Roman"/>
          <w:b/>
          <w:bCs/>
        </w:rPr>
      </w:pPr>
      <w:r w:rsidRPr="000E2BF6">
        <w:rPr>
          <w:rFonts w:ascii="Times New Roman" w:hAnsi="Times New Roman" w:cs="Times New Roman"/>
          <w:b/>
        </w:rPr>
        <w:t xml:space="preserve">Дополнительное условие торгов: победитель торгов обязан </w:t>
      </w:r>
      <w:r w:rsidRPr="000E2BF6">
        <w:rPr>
          <w:rFonts w:ascii="Times New Roman" w:hAnsi="Times New Roman" w:cs="Times New Roman"/>
          <w:b/>
          <w:bCs/>
        </w:rPr>
        <w:t>допускать представителей собственника линейного объекта (тепловая сеть и сеть ГВС) или представителей организации, осуществляющей эксплуатацию линейного объекта, расположенного на земельном участке с кадастровым номером 59:03:1000001:3176, к данному объекту в целях обеспечения его безопасности.</w:t>
      </w:r>
    </w:p>
    <w:p w:rsidR="002D28EC" w:rsidRPr="000E2BF6" w:rsidRDefault="002D28EC" w:rsidP="002D28E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2D28EC" w:rsidRPr="000E2BF6" w:rsidRDefault="002D28EC" w:rsidP="002D28EC">
      <w:pPr>
        <w:ind w:firstLine="284"/>
        <w:jc w:val="both"/>
        <w:rPr>
          <w:b/>
          <w:sz w:val="20"/>
          <w:szCs w:val="20"/>
        </w:rPr>
      </w:pPr>
      <w:r w:rsidRPr="000E2BF6">
        <w:rPr>
          <w:b/>
          <w:sz w:val="20"/>
          <w:szCs w:val="20"/>
        </w:rPr>
        <w:t>Сумма задатка: 20 % от начальной цены предмета торгов – 30 000,00 руб.</w:t>
      </w:r>
    </w:p>
    <w:p w:rsidR="002D28EC" w:rsidRPr="000E2BF6" w:rsidRDefault="002D28EC" w:rsidP="002D28EC">
      <w:pPr>
        <w:tabs>
          <w:tab w:val="num" w:pos="1128"/>
        </w:tabs>
        <w:ind w:firstLine="284"/>
        <w:jc w:val="both"/>
        <w:rPr>
          <w:b/>
          <w:sz w:val="20"/>
          <w:szCs w:val="20"/>
        </w:rPr>
      </w:pPr>
      <w:r w:rsidRPr="000E2BF6">
        <w:rPr>
          <w:b/>
          <w:sz w:val="20"/>
          <w:szCs w:val="20"/>
        </w:rPr>
        <w:t xml:space="preserve">Предельные параметры земельных участков и объектов капитального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2D28EC" w:rsidRPr="000E2BF6" w:rsidTr="00860E88">
        <w:tc>
          <w:tcPr>
            <w:tcW w:w="828"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кв.м</w:t>
            </w:r>
          </w:p>
        </w:tc>
        <w:tc>
          <w:tcPr>
            <w:tcW w:w="2160"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застройки, %</w:t>
            </w:r>
          </w:p>
        </w:tc>
      </w:tr>
      <w:tr w:rsidR="002D28EC" w:rsidRPr="000E2BF6" w:rsidTr="00860E88">
        <w:tc>
          <w:tcPr>
            <w:tcW w:w="828" w:type="dxa"/>
            <w:vMerge/>
          </w:tcPr>
          <w:p w:rsidR="002D28EC" w:rsidRPr="000E2BF6" w:rsidRDefault="002D28EC" w:rsidP="00860E88">
            <w:pPr>
              <w:pStyle w:val="ConsNormal"/>
              <w:widowControl/>
              <w:ind w:right="0" w:firstLine="284"/>
              <w:jc w:val="center"/>
              <w:rPr>
                <w:rFonts w:ascii="Times New Roman" w:hAnsi="Times New Roman" w:cs="Times New Roman"/>
              </w:rPr>
            </w:pPr>
          </w:p>
        </w:tc>
        <w:tc>
          <w:tcPr>
            <w:tcW w:w="1728"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2D28EC" w:rsidRPr="000E2BF6" w:rsidRDefault="002D28EC" w:rsidP="00860E88">
            <w:pPr>
              <w:pStyle w:val="ConsNormal"/>
              <w:widowControl/>
              <w:ind w:right="0" w:firstLine="284"/>
              <w:jc w:val="center"/>
              <w:rPr>
                <w:rFonts w:ascii="Times New Roman" w:hAnsi="Times New Roman" w:cs="Times New Roman"/>
              </w:rPr>
            </w:pPr>
          </w:p>
        </w:tc>
      </w:tr>
      <w:tr w:rsidR="002D28EC" w:rsidRPr="000E2BF6" w:rsidTr="00860E88">
        <w:tc>
          <w:tcPr>
            <w:tcW w:w="8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2D28EC" w:rsidRPr="000E2BF6" w:rsidRDefault="002D28EC" w:rsidP="002D28E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1.3. информация о подключении: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 «грс-4 – мик/н Усольский» с установкой пункта редуцирования газа;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трансгаз Чайковский» техническую возможность подачи газа на объект магистральным газопроводом и ГРС-4 (Пыскор);</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2D28EC" w:rsidRPr="000E2BF6" w:rsidRDefault="002D28EC" w:rsidP="002D28EC">
      <w:pPr>
        <w:pStyle w:val="3"/>
        <w:spacing w:after="0"/>
        <w:ind w:firstLine="284"/>
        <w:rPr>
          <w:sz w:val="20"/>
          <w:szCs w:val="20"/>
        </w:rPr>
      </w:pPr>
    </w:p>
    <w:p w:rsidR="002D28EC" w:rsidRPr="000E2BF6" w:rsidRDefault="002D28EC" w:rsidP="002D28EC">
      <w:pPr>
        <w:ind w:firstLine="284"/>
        <w:jc w:val="both"/>
        <w:rPr>
          <w:sz w:val="20"/>
          <w:szCs w:val="20"/>
        </w:rPr>
      </w:pPr>
      <w:r w:rsidRPr="000E2BF6">
        <w:rPr>
          <w:b/>
          <w:sz w:val="20"/>
          <w:szCs w:val="20"/>
        </w:rPr>
        <w:t>Лот № 4.</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59:03:1000001:3174 площадью 2495 кв.м для проектно-изыскательских </w:t>
      </w:r>
      <w:r w:rsidRPr="000E2BF6">
        <w:rPr>
          <w:sz w:val="20"/>
          <w:szCs w:val="20"/>
        </w:rPr>
        <w:lastRenderedPageBreak/>
        <w:t>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11. Срок аренды – 7 лет.</w:t>
      </w:r>
    </w:p>
    <w:p w:rsidR="002D28EC" w:rsidRPr="000E2BF6" w:rsidRDefault="002D28EC" w:rsidP="002D28E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2D28EC" w:rsidRPr="000E2BF6" w:rsidRDefault="002D28EC" w:rsidP="002D28E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2D28EC" w:rsidRPr="000E2BF6" w:rsidRDefault="002D28EC" w:rsidP="002D28EC">
      <w:pPr>
        <w:ind w:firstLine="284"/>
        <w:jc w:val="both"/>
        <w:rPr>
          <w:b/>
          <w:sz w:val="20"/>
          <w:szCs w:val="20"/>
        </w:rPr>
      </w:pPr>
      <w:r w:rsidRPr="000E2BF6">
        <w:rPr>
          <w:b/>
          <w:sz w:val="20"/>
          <w:szCs w:val="20"/>
        </w:rPr>
        <w:t>Сумма задатка: 20 % от начальной цены предмета торгов – 30 000,00 руб.</w:t>
      </w:r>
    </w:p>
    <w:p w:rsidR="002D28EC" w:rsidRPr="000E2BF6" w:rsidRDefault="002D28EC" w:rsidP="002D28EC">
      <w:pPr>
        <w:tabs>
          <w:tab w:val="num" w:pos="1128"/>
        </w:tabs>
        <w:ind w:firstLine="284"/>
        <w:jc w:val="both"/>
        <w:rPr>
          <w:b/>
          <w:sz w:val="20"/>
          <w:szCs w:val="20"/>
        </w:rPr>
      </w:pPr>
      <w:r w:rsidRPr="000E2BF6">
        <w:rPr>
          <w:b/>
          <w:sz w:val="20"/>
          <w:szCs w:val="20"/>
        </w:rPr>
        <w:t xml:space="preserve">Предельные параметры земельных участков и объектов капитального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2D28EC" w:rsidRPr="000E2BF6" w:rsidTr="00860E88">
        <w:tc>
          <w:tcPr>
            <w:tcW w:w="828"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кв.м</w:t>
            </w:r>
          </w:p>
        </w:tc>
        <w:tc>
          <w:tcPr>
            <w:tcW w:w="2160"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застройки, %</w:t>
            </w:r>
          </w:p>
        </w:tc>
      </w:tr>
      <w:tr w:rsidR="002D28EC" w:rsidRPr="000E2BF6" w:rsidTr="00860E88">
        <w:tc>
          <w:tcPr>
            <w:tcW w:w="828" w:type="dxa"/>
            <w:vMerge/>
          </w:tcPr>
          <w:p w:rsidR="002D28EC" w:rsidRPr="000E2BF6" w:rsidRDefault="002D28EC" w:rsidP="00860E88">
            <w:pPr>
              <w:pStyle w:val="ConsNormal"/>
              <w:widowControl/>
              <w:ind w:right="0" w:firstLine="284"/>
              <w:jc w:val="center"/>
              <w:rPr>
                <w:rFonts w:ascii="Times New Roman" w:hAnsi="Times New Roman" w:cs="Times New Roman"/>
              </w:rPr>
            </w:pPr>
          </w:p>
        </w:tc>
        <w:tc>
          <w:tcPr>
            <w:tcW w:w="1728"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2D28EC" w:rsidRPr="000E2BF6" w:rsidRDefault="002D28EC" w:rsidP="00860E88">
            <w:pPr>
              <w:pStyle w:val="ConsNormal"/>
              <w:widowControl/>
              <w:ind w:right="0" w:firstLine="284"/>
              <w:jc w:val="center"/>
              <w:rPr>
                <w:rFonts w:ascii="Times New Roman" w:hAnsi="Times New Roman" w:cs="Times New Roman"/>
              </w:rPr>
            </w:pPr>
          </w:p>
        </w:tc>
      </w:tr>
      <w:tr w:rsidR="002D28EC" w:rsidRPr="000E2BF6" w:rsidTr="00860E88">
        <w:tc>
          <w:tcPr>
            <w:tcW w:w="8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2D28EC" w:rsidRPr="000E2BF6" w:rsidRDefault="002D28EC" w:rsidP="002D28E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1.3. информация о подключении: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 «грс-4 – мик/н Усольский» с установкой пункта редуцирования газа;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трансгаз Чайковский» техническую возможность подачи газа на объект магистральным газопроводом и ГРС-4 (Пыскор);</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2D28EC" w:rsidRPr="000E2BF6" w:rsidRDefault="002D28EC" w:rsidP="002D28EC">
      <w:pPr>
        <w:pStyle w:val="3"/>
        <w:spacing w:after="0"/>
        <w:ind w:firstLine="284"/>
        <w:rPr>
          <w:sz w:val="20"/>
          <w:szCs w:val="20"/>
        </w:rPr>
      </w:pPr>
    </w:p>
    <w:p w:rsidR="002D28EC" w:rsidRPr="000E2BF6" w:rsidRDefault="002D28EC" w:rsidP="002D28EC">
      <w:pPr>
        <w:ind w:firstLine="284"/>
        <w:jc w:val="both"/>
        <w:rPr>
          <w:sz w:val="20"/>
          <w:szCs w:val="20"/>
        </w:rPr>
      </w:pPr>
      <w:r w:rsidRPr="000E2BF6">
        <w:rPr>
          <w:b/>
          <w:sz w:val="20"/>
          <w:szCs w:val="20"/>
        </w:rPr>
        <w:t>Лот № 5.</w:t>
      </w:r>
      <w:r w:rsidRPr="000E2BF6">
        <w:rPr>
          <w:sz w:val="20"/>
          <w:szCs w:val="20"/>
        </w:rPr>
        <w:t xml:space="preserve"> Право заключения договора аренды земельного участка (категория земель – земли населенных пунктов) с кадастровым номером 59:03:1000001:3172 площадью 2477 кв.м для проектно-изыскательских работ и строительства в соответствии с основными видами разрешенного использования для общественно-деловой зоны микрорайонов (О-2) в правобережном районе г. Березники, квартал 11. Срок аренды – 7 лет.</w:t>
      </w:r>
    </w:p>
    <w:p w:rsidR="002D28EC" w:rsidRPr="000E2BF6" w:rsidRDefault="002D28EC" w:rsidP="002D28EC">
      <w:pPr>
        <w:pStyle w:val="21"/>
        <w:spacing w:after="0" w:line="240" w:lineRule="auto"/>
        <w:ind w:firstLine="284"/>
        <w:jc w:val="both"/>
        <w:rPr>
          <w:b/>
          <w:sz w:val="20"/>
          <w:szCs w:val="20"/>
        </w:rPr>
      </w:pPr>
      <w:r w:rsidRPr="000E2BF6">
        <w:rPr>
          <w:b/>
          <w:sz w:val="20"/>
          <w:szCs w:val="20"/>
        </w:rPr>
        <w:t>Дополнительное условие торгов: победитель торгов принимает на себя все риски по получению разрешения на застройку мест залегания полезных ископаемых в уполномоченных органах.</w:t>
      </w:r>
    </w:p>
    <w:p w:rsidR="002D28EC" w:rsidRPr="000E2BF6" w:rsidRDefault="002D28EC" w:rsidP="002D28EC">
      <w:pPr>
        <w:pStyle w:val="ConsPlusNormal"/>
        <w:ind w:firstLine="284"/>
        <w:jc w:val="both"/>
        <w:rPr>
          <w:rFonts w:ascii="Times New Roman" w:hAnsi="Times New Roman" w:cs="Times New Roman"/>
          <w:b/>
          <w:bCs/>
        </w:rPr>
      </w:pPr>
      <w:r w:rsidRPr="000E2BF6">
        <w:rPr>
          <w:rFonts w:ascii="Times New Roman" w:hAnsi="Times New Roman" w:cs="Times New Roman"/>
          <w:b/>
        </w:rPr>
        <w:t xml:space="preserve">Дополнительное условие торгов: победитель торгов обязан </w:t>
      </w:r>
      <w:r w:rsidRPr="000E2BF6">
        <w:rPr>
          <w:rFonts w:ascii="Times New Roman" w:hAnsi="Times New Roman" w:cs="Times New Roman"/>
          <w:b/>
          <w:bCs/>
        </w:rPr>
        <w:t xml:space="preserve">допускать представителей собственника линейного объекта (тепловая сеть и сеть ГВС) или представителей организации, осуществляющей эксплуатацию линейного объекта, расположенного на земельном участке с </w:t>
      </w:r>
      <w:r w:rsidRPr="000E2BF6">
        <w:rPr>
          <w:rFonts w:ascii="Times New Roman" w:hAnsi="Times New Roman" w:cs="Times New Roman"/>
          <w:b/>
          <w:bCs/>
        </w:rPr>
        <w:lastRenderedPageBreak/>
        <w:t>кадастровым номером 59:03:1000001:3172, к данному объекту в целях обеспечения его безопасности.</w:t>
      </w:r>
    </w:p>
    <w:p w:rsidR="002D28EC" w:rsidRPr="000E2BF6" w:rsidRDefault="002D28EC" w:rsidP="002D28EC">
      <w:pPr>
        <w:pStyle w:val="21"/>
        <w:spacing w:after="0" w:line="240" w:lineRule="auto"/>
        <w:ind w:firstLine="284"/>
        <w:jc w:val="both"/>
        <w:rPr>
          <w:b/>
          <w:sz w:val="20"/>
          <w:szCs w:val="20"/>
        </w:rPr>
      </w:pPr>
      <w:r w:rsidRPr="000E2BF6">
        <w:rPr>
          <w:b/>
          <w:sz w:val="20"/>
          <w:szCs w:val="20"/>
        </w:rPr>
        <w:t>Начальная цена предмета торгов: размер ежегодной арендной платы за землю – 150 000,00 рублей.</w:t>
      </w:r>
    </w:p>
    <w:p w:rsidR="002D28EC" w:rsidRPr="000E2BF6" w:rsidRDefault="002D28EC" w:rsidP="002D28EC">
      <w:pPr>
        <w:ind w:firstLine="284"/>
        <w:jc w:val="both"/>
        <w:rPr>
          <w:b/>
          <w:sz w:val="20"/>
          <w:szCs w:val="20"/>
        </w:rPr>
      </w:pPr>
      <w:r w:rsidRPr="000E2BF6">
        <w:rPr>
          <w:b/>
          <w:sz w:val="20"/>
          <w:szCs w:val="20"/>
        </w:rPr>
        <w:t>Сумма задатка: 20 % от начальной цены предмета торгов – 30 000,00 руб.</w:t>
      </w:r>
    </w:p>
    <w:p w:rsidR="002D28EC" w:rsidRPr="000E2BF6" w:rsidRDefault="002D28EC" w:rsidP="002D28EC">
      <w:pPr>
        <w:tabs>
          <w:tab w:val="num" w:pos="1128"/>
        </w:tabs>
        <w:ind w:firstLine="284"/>
        <w:jc w:val="both"/>
        <w:rPr>
          <w:b/>
          <w:sz w:val="20"/>
          <w:szCs w:val="20"/>
        </w:rPr>
      </w:pPr>
      <w:r w:rsidRPr="000E2BF6">
        <w:rPr>
          <w:b/>
          <w:sz w:val="20"/>
          <w:szCs w:val="20"/>
        </w:rPr>
        <w:t xml:space="preserve">Предельные параметры земельных участков и объектов капитального строительства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728"/>
        <w:gridCol w:w="2232"/>
        <w:gridCol w:w="2160"/>
      </w:tblGrid>
      <w:tr w:rsidR="002D28EC" w:rsidRPr="000E2BF6" w:rsidTr="00860E88">
        <w:tc>
          <w:tcPr>
            <w:tcW w:w="828"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Код зоны</w:t>
            </w:r>
          </w:p>
        </w:tc>
        <w:tc>
          <w:tcPr>
            <w:tcW w:w="3960" w:type="dxa"/>
            <w:gridSpan w:val="2"/>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Площадь, кв.м</w:t>
            </w:r>
          </w:p>
        </w:tc>
        <w:tc>
          <w:tcPr>
            <w:tcW w:w="2160" w:type="dxa"/>
            <w:vMerge w:val="restart"/>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 xml:space="preserve">Процент </w:t>
            </w:r>
          </w:p>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застройки, %</w:t>
            </w:r>
          </w:p>
        </w:tc>
      </w:tr>
      <w:tr w:rsidR="002D28EC" w:rsidRPr="000E2BF6" w:rsidTr="00860E88">
        <w:tc>
          <w:tcPr>
            <w:tcW w:w="828" w:type="dxa"/>
            <w:vMerge/>
          </w:tcPr>
          <w:p w:rsidR="002D28EC" w:rsidRPr="000E2BF6" w:rsidRDefault="002D28EC" w:rsidP="00860E88">
            <w:pPr>
              <w:pStyle w:val="ConsNormal"/>
              <w:widowControl/>
              <w:ind w:right="0" w:firstLine="284"/>
              <w:jc w:val="center"/>
              <w:rPr>
                <w:rFonts w:ascii="Times New Roman" w:hAnsi="Times New Roman" w:cs="Times New Roman"/>
              </w:rPr>
            </w:pPr>
          </w:p>
        </w:tc>
        <w:tc>
          <w:tcPr>
            <w:tcW w:w="1728"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минимальная</w:t>
            </w:r>
          </w:p>
        </w:tc>
        <w:tc>
          <w:tcPr>
            <w:tcW w:w="2232" w:type="dxa"/>
          </w:tcPr>
          <w:p w:rsidR="002D28EC" w:rsidRPr="000E2BF6" w:rsidRDefault="002D28EC" w:rsidP="00860E88">
            <w:pPr>
              <w:pStyle w:val="ConsNormal"/>
              <w:widowControl/>
              <w:ind w:right="0" w:firstLine="284"/>
              <w:jc w:val="center"/>
              <w:rPr>
                <w:rFonts w:ascii="Times New Roman" w:hAnsi="Times New Roman" w:cs="Times New Roman"/>
              </w:rPr>
            </w:pPr>
            <w:r w:rsidRPr="000E2BF6">
              <w:rPr>
                <w:rFonts w:ascii="Times New Roman" w:hAnsi="Times New Roman" w:cs="Times New Roman"/>
              </w:rPr>
              <w:t>максимальная</w:t>
            </w:r>
          </w:p>
        </w:tc>
        <w:tc>
          <w:tcPr>
            <w:tcW w:w="2160" w:type="dxa"/>
            <w:vMerge/>
          </w:tcPr>
          <w:p w:rsidR="002D28EC" w:rsidRPr="000E2BF6" w:rsidRDefault="002D28EC" w:rsidP="00860E88">
            <w:pPr>
              <w:pStyle w:val="ConsNormal"/>
              <w:widowControl/>
              <w:ind w:right="0" w:firstLine="284"/>
              <w:jc w:val="center"/>
              <w:rPr>
                <w:rFonts w:ascii="Times New Roman" w:hAnsi="Times New Roman" w:cs="Times New Roman"/>
              </w:rPr>
            </w:pPr>
          </w:p>
        </w:tc>
      </w:tr>
      <w:tr w:rsidR="002D28EC" w:rsidRPr="000E2BF6" w:rsidTr="00860E88">
        <w:tc>
          <w:tcPr>
            <w:tcW w:w="8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О-2</w:t>
            </w:r>
          </w:p>
        </w:tc>
        <w:tc>
          <w:tcPr>
            <w:tcW w:w="1728"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232"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w:t>
            </w:r>
          </w:p>
        </w:tc>
        <w:tc>
          <w:tcPr>
            <w:tcW w:w="2160" w:type="dxa"/>
          </w:tcPr>
          <w:p w:rsidR="002D28EC" w:rsidRPr="000E2BF6" w:rsidRDefault="002D28EC" w:rsidP="00860E88">
            <w:pPr>
              <w:pStyle w:val="ConsNormal"/>
              <w:widowControl/>
              <w:ind w:right="0" w:firstLine="284"/>
              <w:jc w:val="both"/>
              <w:rPr>
                <w:rFonts w:ascii="Times New Roman" w:hAnsi="Times New Roman" w:cs="Times New Roman"/>
              </w:rPr>
            </w:pPr>
            <w:r w:rsidRPr="000E2BF6">
              <w:rPr>
                <w:rFonts w:ascii="Times New Roman" w:hAnsi="Times New Roman" w:cs="Times New Roman"/>
              </w:rPr>
              <w:t>70</w:t>
            </w:r>
          </w:p>
        </w:tc>
      </w:tr>
    </w:tbl>
    <w:p w:rsidR="002D28EC" w:rsidRPr="000E2BF6" w:rsidRDefault="002D28EC" w:rsidP="002D28EC">
      <w:pPr>
        <w:autoSpaceDE w:val="0"/>
        <w:autoSpaceDN w:val="0"/>
        <w:adjustRightInd w:val="0"/>
        <w:ind w:firstLine="284"/>
        <w:jc w:val="both"/>
        <w:rPr>
          <w:b/>
          <w:bCs/>
          <w:sz w:val="20"/>
          <w:szCs w:val="20"/>
        </w:rPr>
      </w:pPr>
      <w:r w:rsidRPr="000E2BF6">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 Технические условия подключения к тепловым сетям: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1.1. свободная мощность на источнике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1.2. максимальный размер нагрузки ресурса – определить проектом;</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1.3. информация о подключении: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нормативный срок подключения: в соответствии с п. 31 Постановления Правительства РФ от 16.04.2012 № 307;</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информация о порядке определения размера платы за подключение: тариф, установленный РСТ;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иная необходимая информация: отсутствие технической возможности: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проведение мероприятий по строительству тепловой сети к земельному участку;</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необходимо получение согласия на присоединение к тепловым сетям у застройщика либо владельца тепловых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подключение возможно после получения лимитов на увеличение потребления природного газа для правобережной котельной с учетом вновь присоединяемой нагрузки;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1.4. срок действия технических условий – до 12.05.2019;</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 Технические условия подключения к сетям водоснабжения и водоотведения: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2.1. максимальное планируемое водопотребление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2.2. предельно свободная мощность – 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2.3. максимальное планируемое водоотведение в возможных точках подключения – определяется расчетом при проектировании;</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2.4. увеличение водопотребления и водоотведения (в случае реконструкции объекта) - 0,00 м</w:t>
      </w:r>
      <w:r w:rsidRPr="000E2BF6">
        <w:rPr>
          <w:bCs/>
          <w:sz w:val="20"/>
          <w:szCs w:val="20"/>
          <w:vertAlign w:val="superscript"/>
        </w:rPr>
        <w:t>3</w:t>
      </w:r>
      <w:r w:rsidRPr="000E2BF6">
        <w:rPr>
          <w:bCs/>
          <w:sz w:val="20"/>
          <w:szCs w:val="20"/>
        </w:rPr>
        <w:t>/сут;</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2.5. технической возможности подключения к сетям водоснабжения и водоотведения имеется;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2.7. технические условия представлены без учета реконструкции сетей;</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2.8. срок действия технических условий – 3 года;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 Технические условия подключения к сетям газораспределения: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 xml:space="preserve">3.1. техническая возможность подключения к сети газоснабжения существует от действующей сети газораспределения высокого давления </w:t>
      </w:r>
      <w:r w:rsidRPr="000E2BF6">
        <w:rPr>
          <w:bCs/>
          <w:sz w:val="20"/>
          <w:szCs w:val="20"/>
          <w:lang w:val="en-US"/>
        </w:rPr>
        <w:t>II</w:t>
      </w:r>
      <w:r w:rsidRPr="000E2BF6">
        <w:rPr>
          <w:bCs/>
          <w:sz w:val="20"/>
          <w:szCs w:val="20"/>
        </w:rPr>
        <w:t xml:space="preserve"> КАТ. «грс-4 – мик/н Усольский» с установкой пункта редуцирования газа;</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3.2. если нагрузка (максимальный часовой расход газа в м3/час) на объект капитального строительства планируется более 300м3/час, то заявитель дополнительно подтверждает в газотранспортной организации – ООО «Газпром трансгаз Чайковский» техническую возможность подачи газа на объект магистральным газопроводом и ГРС-4 (Пыскор);</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3.3. согласно Правилам подключения (технологического присоединения) объектов капитального строительства к газораспределительным сетям, утвержденных Постановлением Правительства РФ от 30.12.2013 № 1314, плата за подключение устанавливается постановлением РСТ Пермского края;</w:t>
      </w:r>
    </w:p>
    <w:p w:rsidR="002D28EC" w:rsidRPr="000E2BF6" w:rsidRDefault="002D28EC" w:rsidP="002D28EC">
      <w:pPr>
        <w:autoSpaceDE w:val="0"/>
        <w:autoSpaceDN w:val="0"/>
        <w:adjustRightInd w:val="0"/>
        <w:ind w:firstLine="284"/>
        <w:jc w:val="both"/>
        <w:rPr>
          <w:bCs/>
          <w:sz w:val="20"/>
          <w:szCs w:val="20"/>
        </w:rPr>
      </w:pPr>
      <w:r w:rsidRPr="000E2BF6">
        <w:rPr>
          <w:bCs/>
          <w:sz w:val="20"/>
          <w:szCs w:val="20"/>
        </w:rPr>
        <w:t>3.4. срок действия технических условий – не менее 3 лет.</w:t>
      </w:r>
    </w:p>
    <w:p w:rsidR="002D28EC" w:rsidRPr="000E2BF6" w:rsidRDefault="002D28EC" w:rsidP="002D28EC">
      <w:pPr>
        <w:tabs>
          <w:tab w:val="left" w:pos="-1134"/>
          <w:tab w:val="left" w:pos="-993"/>
        </w:tabs>
        <w:ind w:firstLine="284"/>
        <w:jc w:val="both"/>
        <w:rPr>
          <w:b/>
          <w:sz w:val="20"/>
          <w:szCs w:val="20"/>
        </w:rPr>
      </w:pPr>
    </w:p>
    <w:p w:rsidR="002D28EC" w:rsidRPr="000E2BF6" w:rsidRDefault="002D28EC" w:rsidP="002D28EC">
      <w:pPr>
        <w:pStyle w:val="21"/>
        <w:spacing w:after="0" w:line="240" w:lineRule="auto"/>
        <w:ind w:firstLine="284"/>
        <w:jc w:val="both"/>
        <w:rPr>
          <w:b/>
          <w:sz w:val="20"/>
          <w:szCs w:val="20"/>
        </w:rPr>
      </w:pPr>
      <w:r w:rsidRPr="000E2BF6">
        <w:rPr>
          <w:b/>
          <w:sz w:val="20"/>
          <w:szCs w:val="20"/>
        </w:rPr>
        <w:t>Предлагаемые условия:</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xml:space="preserve">- Форма проведения торгов – </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аукцион, открытый по составу участников по лотам № 2 - 5</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аукцион, открытый по форме подачи предложений по цене предмета торгов</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xml:space="preserve">- </w:t>
      </w:r>
      <w:r w:rsidRPr="000E2BF6">
        <w:rPr>
          <w:b/>
          <w:sz w:val="20"/>
          <w:szCs w:val="20"/>
        </w:rPr>
        <w:t>Дата и время начала приема заявок: 30 мая 2016 года с 8-30.</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b/>
          <w:sz w:val="20"/>
          <w:szCs w:val="20"/>
        </w:rPr>
        <w:t>- Порядок приема заявок: лично либо через законного представителя</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sz w:val="20"/>
          <w:szCs w:val="20"/>
        </w:rPr>
        <w:t xml:space="preserve">- </w:t>
      </w:r>
      <w:r w:rsidRPr="000E2BF6">
        <w:rPr>
          <w:b/>
          <w:sz w:val="20"/>
          <w:szCs w:val="20"/>
        </w:rPr>
        <w:t>Срок приема заявок и прилагаемых к ним документов: до 12-00 часов 08 июля 2016 года.</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sz w:val="20"/>
          <w:szCs w:val="20"/>
        </w:rPr>
        <w:t xml:space="preserve">- </w:t>
      </w:r>
      <w:r w:rsidRPr="000E2BF6">
        <w:rPr>
          <w:b/>
          <w:sz w:val="20"/>
          <w:szCs w:val="20"/>
        </w:rPr>
        <w:t>Адрес места приема заявок: г. Березники, пр. Советский, 39, каб. № 1.</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b/>
          <w:sz w:val="20"/>
          <w:szCs w:val="20"/>
        </w:rPr>
        <w:t>- Контактный телефон: т. 290-181</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b/>
          <w:sz w:val="20"/>
          <w:szCs w:val="20"/>
        </w:rPr>
        <w:t xml:space="preserve">- Дата определения участников торгов, подведения итогов торгов: 11 июля 2016 года в 14-00. </w:t>
      </w:r>
    </w:p>
    <w:p w:rsidR="002D28EC" w:rsidRPr="000E2BF6" w:rsidRDefault="002D28EC" w:rsidP="002D28EC">
      <w:pPr>
        <w:widowControl w:val="0"/>
        <w:tabs>
          <w:tab w:val="left" w:pos="90"/>
        </w:tabs>
        <w:autoSpaceDE w:val="0"/>
        <w:autoSpaceDN w:val="0"/>
        <w:adjustRightInd w:val="0"/>
        <w:ind w:firstLine="284"/>
        <w:jc w:val="both"/>
        <w:rPr>
          <w:b/>
          <w:sz w:val="20"/>
          <w:szCs w:val="20"/>
        </w:rPr>
      </w:pPr>
      <w:r w:rsidRPr="000E2BF6">
        <w:rPr>
          <w:b/>
          <w:sz w:val="20"/>
          <w:szCs w:val="20"/>
        </w:rPr>
        <w:t>- Место определения участников торгов и подведение итогов торгов: г. Березники, Советская пл.,1, каб. 37</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lastRenderedPageBreak/>
        <w:t>-  Срок заключения договора:  не ранее чем через 10 дней с момента подписания протокола о результатах торгов.</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xml:space="preserve">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0E2BF6">
        <w:rPr>
          <w:rStyle w:val="blk3"/>
          <w:color w:val="000000"/>
          <w:sz w:val="20"/>
          <w:szCs w:val="20"/>
        </w:rPr>
        <w:t xml:space="preserve">Российской Федерации в информационно-телекоммуникационной сети "Интернет" </w:t>
      </w:r>
      <w:r w:rsidRPr="000E2BF6">
        <w:rPr>
          <w:rStyle w:val="blk3"/>
          <w:color w:val="000000"/>
          <w:sz w:val="20"/>
          <w:szCs w:val="20"/>
          <w:lang w:val="en-US"/>
        </w:rPr>
        <w:t>www</w:t>
      </w:r>
      <w:r w:rsidRPr="000E2BF6">
        <w:rPr>
          <w:rStyle w:val="blk3"/>
          <w:color w:val="000000"/>
          <w:sz w:val="20"/>
          <w:szCs w:val="20"/>
        </w:rPr>
        <w:t>.</w:t>
      </w:r>
      <w:r w:rsidRPr="000E2BF6">
        <w:rPr>
          <w:rStyle w:val="blk3"/>
          <w:color w:val="000000"/>
          <w:sz w:val="20"/>
          <w:szCs w:val="20"/>
          <w:lang w:val="en-US"/>
        </w:rPr>
        <w:t>torgi</w:t>
      </w:r>
      <w:r w:rsidRPr="000E2BF6">
        <w:rPr>
          <w:rStyle w:val="blk3"/>
          <w:color w:val="000000"/>
          <w:sz w:val="20"/>
          <w:szCs w:val="20"/>
        </w:rPr>
        <w:t>.</w:t>
      </w:r>
      <w:r w:rsidRPr="000E2BF6">
        <w:rPr>
          <w:rStyle w:val="blk3"/>
          <w:color w:val="000000"/>
          <w:sz w:val="20"/>
          <w:szCs w:val="20"/>
          <w:lang w:val="en-US"/>
        </w:rPr>
        <w:t>gov</w:t>
      </w:r>
      <w:r w:rsidRPr="000E2BF6">
        <w:rPr>
          <w:rStyle w:val="blk3"/>
          <w:color w:val="000000"/>
          <w:sz w:val="20"/>
          <w:szCs w:val="20"/>
        </w:rPr>
        <w:t>.</w:t>
      </w:r>
      <w:r w:rsidRPr="000E2BF6">
        <w:rPr>
          <w:rStyle w:val="blk3"/>
          <w:color w:val="000000"/>
          <w:sz w:val="20"/>
          <w:szCs w:val="20"/>
          <w:lang w:val="en-US"/>
        </w:rPr>
        <w:t>ru</w:t>
      </w:r>
      <w:r w:rsidRPr="000E2BF6">
        <w:rPr>
          <w:rStyle w:val="blk3"/>
          <w:color w:val="000000"/>
          <w:sz w:val="20"/>
          <w:szCs w:val="20"/>
        </w:rPr>
        <w:t>. Плата за получение информации не взимается.</w:t>
      </w:r>
    </w:p>
    <w:p w:rsidR="002D28EC" w:rsidRPr="000E2BF6" w:rsidRDefault="002D28EC" w:rsidP="002D28EC">
      <w:pPr>
        <w:ind w:firstLine="284"/>
        <w:jc w:val="both"/>
        <w:rPr>
          <w:rStyle w:val="blk3"/>
          <w:color w:val="000000"/>
          <w:sz w:val="20"/>
          <w:szCs w:val="20"/>
        </w:rPr>
      </w:pPr>
      <w:r w:rsidRPr="000E2BF6">
        <w:rPr>
          <w:rStyle w:val="blk3"/>
          <w:color w:val="000000"/>
          <w:sz w:val="20"/>
          <w:szCs w:val="20"/>
        </w:rPr>
        <w:t xml:space="preserve">Для участия в торгах заявители представляют в установленный в извещении о проведении торгов срок следующие документы: </w:t>
      </w:r>
    </w:p>
    <w:p w:rsidR="002D28EC" w:rsidRPr="000E2BF6" w:rsidRDefault="002D28EC" w:rsidP="002D28EC">
      <w:pPr>
        <w:ind w:firstLine="284"/>
        <w:jc w:val="both"/>
        <w:rPr>
          <w:color w:val="000000"/>
          <w:sz w:val="20"/>
          <w:szCs w:val="20"/>
        </w:rPr>
      </w:pPr>
      <w:r w:rsidRPr="000E2BF6">
        <w:rPr>
          <w:rStyle w:val="blk3"/>
          <w:color w:val="000000"/>
          <w:sz w:val="20"/>
          <w:szCs w:val="20"/>
        </w:rPr>
        <w:t>1) заявка на участие в торгах;</w:t>
      </w:r>
    </w:p>
    <w:p w:rsidR="002D28EC" w:rsidRPr="000E2BF6" w:rsidRDefault="002D28EC" w:rsidP="002D28EC">
      <w:pPr>
        <w:ind w:firstLine="284"/>
        <w:jc w:val="both"/>
        <w:rPr>
          <w:color w:val="000000"/>
          <w:sz w:val="20"/>
          <w:szCs w:val="20"/>
        </w:rPr>
      </w:pPr>
      <w:r w:rsidRPr="000E2BF6">
        <w:rPr>
          <w:rStyle w:val="blk3"/>
          <w:color w:val="000000"/>
          <w:sz w:val="20"/>
          <w:szCs w:val="20"/>
        </w:rPr>
        <w:t>2) копии документов, удостоверяющих личность заявителя (для граждан);</w:t>
      </w:r>
    </w:p>
    <w:p w:rsidR="002D28EC" w:rsidRPr="000E2BF6" w:rsidRDefault="002D28EC" w:rsidP="002D28EC">
      <w:pPr>
        <w:ind w:firstLine="284"/>
        <w:jc w:val="both"/>
        <w:rPr>
          <w:color w:val="000000"/>
          <w:sz w:val="20"/>
          <w:szCs w:val="20"/>
        </w:rPr>
      </w:pPr>
      <w:r w:rsidRPr="000E2BF6">
        <w:rPr>
          <w:rStyle w:val="blk3"/>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28EC" w:rsidRPr="000E2BF6" w:rsidRDefault="002D28EC" w:rsidP="002D28EC">
      <w:pPr>
        <w:ind w:firstLine="284"/>
        <w:jc w:val="both"/>
        <w:rPr>
          <w:color w:val="000000"/>
          <w:sz w:val="20"/>
          <w:szCs w:val="20"/>
        </w:rPr>
      </w:pPr>
      <w:r w:rsidRPr="000E2BF6">
        <w:rPr>
          <w:rStyle w:val="blk3"/>
          <w:color w:val="000000"/>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Для участия в торгах заявители вносят задаток по следующим реквизитам:</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Расчетный счет получателя: 40101810700000010003</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Банк получателя: Отделение Пермь г. Пермь</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БИК 045773001</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Получатель:</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xml:space="preserve">ИНН 5911000188/ КПП 591101001 </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УФК по Пермскому краю (Управление имущественных и земельных отношений администрации г. Березники)</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ОКТМО 57708000</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2D28EC" w:rsidRPr="000E2BF6" w:rsidRDefault="002D28EC" w:rsidP="002D28EC">
      <w:pPr>
        <w:pStyle w:val="2"/>
        <w:spacing w:after="0" w:line="240" w:lineRule="auto"/>
        <w:ind w:right="-1" w:firstLine="284"/>
        <w:rPr>
          <w:b/>
          <w:sz w:val="20"/>
          <w:szCs w:val="20"/>
        </w:rPr>
      </w:pPr>
      <w:r w:rsidRPr="000E2BF6">
        <w:rPr>
          <w:b/>
          <w:sz w:val="20"/>
          <w:szCs w:val="20"/>
        </w:rPr>
        <w:t>Задаток, перечисленный победителем торгов, засчитывается в счет расчетов по оплате предмета торгов. Задаток участников торгов, не выигравших торги, возвращается на расчетный счет участников на основании заявления на возврат денег в управление имущественных и земельных отношений администрации города Березники (пр. Советский, 39).</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Установить для лотов «шаг аукциона» в размере 3 % от начальной цены предмета торгов.</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Особым условием для победителя торгов по лотам установить:</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 xml:space="preserve">- подписание итогового протокола о результатах торгов в день подведения итогов торгов. </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Аукцион проводится в порядке, установленном статьей 39.12 Земельного кодекса РФ.</w:t>
      </w:r>
    </w:p>
    <w:p w:rsidR="002D28EC" w:rsidRPr="000E2BF6" w:rsidRDefault="002D28EC" w:rsidP="002D28EC">
      <w:pPr>
        <w:widowControl w:val="0"/>
        <w:tabs>
          <w:tab w:val="left" w:pos="90"/>
        </w:tabs>
        <w:autoSpaceDE w:val="0"/>
        <w:autoSpaceDN w:val="0"/>
        <w:adjustRightInd w:val="0"/>
        <w:ind w:firstLine="284"/>
        <w:jc w:val="both"/>
        <w:rPr>
          <w:sz w:val="20"/>
          <w:szCs w:val="20"/>
        </w:rPr>
      </w:pPr>
      <w:r w:rsidRPr="000E2BF6">
        <w:rPr>
          <w:sz w:val="20"/>
          <w:szCs w:val="20"/>
        </w:rPr>
        <w:t>Критерием выявления победителя по лотам установлен наибольший предложенный размер предмета торгов.</w:t>
      </w:r>
    </w:p>
    <w:p w:rsidR="002D28EC" w:rsidRPr="000E2BF6" w:rsidRDefault="002D28EC" w:rsidP="002D28EC">
      <w:pPr>
        <w:tabs>
          <w:tab w:val="left" w:pos="-1134"/>
        </w:tabs>
        <w:ind w:firstLine="284"/>
        <w:jc w:val="both"/>
        <w:rPr>
          <w:b/>
          <w:sz w:val="20"/>
          <w:szCs w:val="20"/>
        </w:rPr>
      </w:pPr>
      <w:r w:rsidRPr="000E2BF6">
        <w:rPr>
          <w:sz w:val="20"/>
          <w:szCs w:val="20"/>
        </w:rPr>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28EC"/>
    <w:rsid w:val="002D28EC"/>
    <w:rsid w:val="00555380"/>
    <w:rsid w:val="00557C70"/>
    <w:rsid w:val="006A52AB"/>
    <w:rsid w:val="00A04EE3"/>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E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D28EC"/>
    <w:pPr>
      <w:spacing w:after="120" w:line="480" w:lineRule="auto"/>
    </w:pPr>
  </w:style>
  <w:style w:type="character" w:customStyle="1" w:styleId="20">
    <w:name w:val="Основной текст 2 Знак"/>
    <w:basedOn w:val="a0"/>
    <w:link w:val="2"/>
    <w:rsid w:val="002D28EC"/>
    <w:rPr>
      <w:rFonts w:ascii="Times New Roman" w:eastAsia="Times New Roman" w:hAnsi="Times New Roman" w:cs="Times New Roman"/>
      <w:sz w:val="28"/>
      <w:szCs w:val="24"/>
      <w:lang w:eastAsia="ru-RU"/>
    </w:rPr>
  </w:style>
  <w:style w:type="paragraph" w:styleId="21">
    <w:name w:val="Body Text Indent 2"/>
    <w:basedOn w:val="a"/>
    <w:link w:val="22"/>
    <w:rsid w:val="002D28EC"/>
    <w:pPr>
      <w:spacing w:after="120" w:line="480" w:lineRule="auto"/>
      <w:ind w:left="283"/>
    </w:pPr>
  </w:style>
  <w:style w:type="character" w:customStyle="1" w:styleId="22">
    <w:name w:val="Основной текст с отступом 2 Знак"/>
    <w:basedOn w:val="a0"/>
    <w:link w:val="21"/>
    <w:rsid w:val="002D28EC"/>
    <w:rPr>
      <w:rFonts w:ascii="Times New Roman" w:eastAsia="Times New Roman" w:hAnsi="Times New Roman" w:cs="Times New Roman"/>
      <w:sz w:val="28"/>
      <w:szCs w:val="24"/>
      <w:lang w:eastAsia="ru-RU"/>
    </w:rPr>
  </w:style>
  <w:style w:type="paragraph" w:styleId="3">
    <w:name w:val="Body Text Indent 3"/>
    <w:basedOn w:val="a"/>
    <w:link w:val="30"/>
    <w:rsid w:val="002D28EC"/>
    <w:pPr>
      <w:spacing w:after="120"/>
      <w:ind w:left="283"/>
    </w:pPr>
    <w:rPr>
      <w:sz w:val="16"/>
      <w:szCs w:val="16"/>
    </w:rPr>
  </w:style>
  <w:style w:type="character" w:customStyle="1" w:styleId="30">
    <w:name w:val="Основной текст с отступом 3 Знак"/>
    <w:basedOn w:val="a0"/>
    <w:link w:val="3"/>
    <w:rsid w:val="002D28EC"/>
    <w:rPr>
      <w:rFonts w:ascii="Times New Roman" w:eastAsia="Times New Roman" w:hAnsi="Times New Roman" w:cs="Times New Roman"/>
      <w:sz w:val="16"/>
      <w:szCs w:val="16"/>
      <w:lang w:eastAsia="ru-RU"/>
    </w:rPr>
  </w:style>
  <w:style w:type="paragraph" w:styleId="a3">
    <w:name w:val="Title"/>
    <w:basedOn w:val="a"/>
    <w:link w:val="a4"/>
    <w:qFormat/>
    <w:rsid w:val="002D28EC"/>
    <w:pPr>
      <w:ind w:firstLine="720"/>
      <w:jc w:val="center"/>
    </w:pPr>
    <w:rPr>
      <w:b/>
      <w:sz w:val="24"/>
      <w:szCs w:val="20"/>
    </w:rPr>
  </w:style>
  <w:style w:type="character" w:customStyle="1" w:styleId="a4">
    <w:name w:val="Название Знак"/>
    <w:basedOn w:val="a0"/>
    <w:link w:val="a3"/>
    <w:rsid w:val="002D28EC"/>
    <w:rPr>
      <w:rFonts w:ascii="Times New Roman" w:eastAsia="Times New Roman" w:hAnsi="Times New Roman" w:cs="Times New Roman"/>
      <w:b/>
      <w:sz w:val="24"/>
      <w:szCs w:val="20"/>
      <w:lang w:eastAsia="ru-RU"/>
    </w:rPr>
  </w:style>
  <w:style w:type="paragraph" w:customStyle="1" w:styleId="ConsNormal">
    <w:name w:val="ConsNormal"/>
    <w:rsid w:val="002D28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3">
    <w:name w:val="blk3"/>
    <w:basedOn w:val="a0"/>
    <w:rsid w:val="002D28EC"/>
    <w:rPr>
      <w:vanish w:val="0"/>
      <w:specVanish w:val="0"/>
    </w:rPr>
  </w:style>
  <w:style w:type="paragraph" w:customStyle="1" w:styleId="ConsPlusNormal">
    <w:name w:val="ConsPlusNormal"/>
    <w:rsid w:val="002D28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3028</Words>
  <Characters>17264</Characters>
  <Application>Microsoft Office Word</Application>
  <DocSecurity>0</DocSecurity>
  <Lines>143</Lines>
  <Paragraphs>40</Paragraphs>
  <ScaleCrop>false</ScaleCrop>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2016-05-25T04:44:00Z</dcterms:created>
  <dcterms:modified xsi:type="dcterms:W3CDTF">2016-05-25T04:45:00Z</dcterms:modified>
</cp:coreProperties>
</file>