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bookmarkStart w:id="0" w:name="_GoBack"/>
      <w:bookmarkEnd w:id="0"/>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sidRPr="00107696">
        <w:rPr>
          <w:sz w:val="28"/>
          <w:szCs w:val="28"/>
        </w:rPr>
        <w:t>об осуществлении государственного контроля (надзора), муниципального контроля за 2015 год в Пермском крае</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краяот 31 августа 2015 г</w:t>
      </w:r>
      <w:r w:rsidR="00ED629B">
        <w:rPr>
          <w:sz w:val="28"/>
          <w:szCs w:val="28"/>
        </w:rPr>
        <w:t>ода</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территорииПермского края регионального государственного контроля(надзора)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Pr>
          <w:sz w:val="28"/>
          <w:szCs w:val="28"/>
        </w:rPr>
        <w:t>Пермского края (далее</w:t>
      </w:r>
      <w:r w:rsidR="00FE3A3F">
        <w:rPr>
          <w:sz w:val="28"/>
          <w:szCs w:val="28"/>
        </w:rPr>
        <w:t> —</w:t>
      </w:r>
      <w:r w:rsidR="00C87C0D">
        <w:rPr>
          <w:sz w:val="28"/>
          <w:szCs w:val="28"/>
        </w:rPr>
        <w:t>ИОГВ Пермского края), уполномоченными на осуществления государственного (регионального) контроля</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4"/>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5"/>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6"/>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8"/>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9"/>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00EA6E28" w:rsidRPr="00254DB9">
        <w:rPr>
          <w:sz w:val="28"/>
          <w:szCs w:val="28"/>
        </w:rPr>
        <w:t>Пермского края</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Pr>
          <w:sz w:val="28"/>
          <w:szCs w:val="28"/>
        </w:rPr>
        <w:t xml:space="preserve">от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rPr>
        <w:t>Кодекс Российской Федерации об административных правона</w:t>
      </w:r>
      <w:r w:rsidR="00AF5D6F">
        <w:rPr>
          <w:sz w:val="28"/>
          <w:szCs w:val="28"/>
        </w:rPr>
        <w:t>рушениях от 30</w:t>
      </w:r>
      <w:r w:rsidR="00F44B3D">
        <w:rPr>
          <w:sz w:val="28"/>
          <w:szCs w:val="28"/>
        </w:rPr>
        <w:t xml:space="preserve"> декабря </w:t>
      </w:r>
      <w:r w:rsidR="00AF5D6F">
        <w:rPr>
          <w:sz w:val="28"/>
          <w:szCs w:val="28"/>
        </w:rPr>
        <w:t>2001</w:t>
      </w:r>
      <w:r w:rsidR="00F44B3D">
        <w:rPr>
          <w:sz w:val="28"/>
          <w:szCs w:val="28"/>
        </w:rPr>
        <w:t> г.</w:t>
      </w:r>
      <w:r w:rsidR="00AF5D6F">
        <w:rPr>
          <w:sz w:val="28"/>
          <w:szCs w:val="28"/>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rPr>
        <w:t>Гражданский кодекс Российской Федерации (часть первая) от 30</w:t>
      </w:r>
      <w:r w:rsidR="00F44B3D">
        <w:rPr>
          <w:sz w:val="28"/>
          <w:szCs w:val="28"/>
        </w:rPr>
        <w:t xml:space="preserve"> ноября </w:t>
      </w:r>
      <w:r w:rsidRPr="0042571E">
        <w:rPr>
          <w:sz w:val="28"/>
          <w:szCs w:val="28"/>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rPr>
        <w:t>Гражданский кодекс Российской Федерации (часть вторая) от 26</w:t>
      </w:r>
      <w:r w:rsidR="00F44B3D">
        <w:rPr>
          <w:sz w:val="28"/>
          <w:szCs w:val="28"/>
        </w:rPr>
        <w:t> января</w:t>
      </w:r>
      <w:r w:rsidRPr="0042571E">
        <w:rPr>
          <w:sz w:val="28"/>
          <w:szCs w:val="28"/>
        </w:rPr>
        <w:t>1996</w:t>
      </w:r>
      <w:r w:rsidR="00F44B3D">
        <w:rPr>
          <w:sz w:val="28"/>
          <w:szCs w:val="28"/>
        </w:rPr>
        <w:t> г.</w:t>
      </w:r>
      <w:r w:rsidRPr="0042571E">
        <w:rPr>
          <w:sz w:val="28"/>
          <w:szCs w:val="28"/>
        </w:rPr>
        <w:t xml:space="preserve"> № 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Налоговый кодекс Российской Федерации (часть вторая) от 05</w:t>
      </w:r>
      <w:r w:rsidR="00955BE2">
        <w:rPr>
          <w:sz w:val="28"/>
          <w:szCs w:val="28"/>
        </w:rPr>
        <w:t xml:space="preserve"> августа </w:t>
      </w:r>
      <w:r w:rsidRPr="0042571E">
        <w:rPr>
          <w:sz w:val="28"/>
          <w:szCs w:val="28"/>
        </w:rPr>
        <w:t>2000</w:t>
      </w:r>
      <w:r w:rsidR="00955BE2">
        <w:rPr>
          <w:sz w:val="28"/>
          <w:szCs w:val="28"/>
        </w:rPr>
        <w:t xml:space="preserve"> года</w:t>
      </w:r>
      <w:r w:rsidRPr="0042571E">
        <w:rPr>
          <w:sz w:val="28"/>
          <w:szCs w:val="28"/>
        </w:rPr>
        <w:t>№ 117-ФЗ.</w:t>
      </w:r>
    </w:p>
    <w:p w:rsidR="0042571E" w:rsidRPr="008575FB" w:rsidRDefault="00732463" w:rsidP="00A622E0">
      <w:pPr>
        <w:autoSpaceDE w:val="0"/>
        <w:autoSpaceDN w:val="0"/>
        <w:adjustRightInd w:val="0"/>
        <w:spacing w:line="360" w:lineRule="exact"/>
        <w:ind w:firstLine="709"/>
        <w:jc w:val="both"/>
        <w:rPr>
          <w:sz w:val="28"/>
          <w:szCs w:val="28"/>
        </w:rPr>
      </w:pPr>
      <w:hyperlink r:id="rId9" w:history="1">
        <w:r w:rsidR="0042571E" w:rsidRPr="0042571E">
          <w:rPr>
            <w:sz w:val="28"/>
            <w:szCs w:val="28"/>
          </w:rPr>
          <w:t>Закон</w:t>
        </w:r>
      </w:hyperlink>
      <w:r w:rsidR="0042571E" w:rsidRPr="0042571E">
        <w:rPr>
          <w:sz w:val="28"/>
          <w:szCs w:val="28"/>
        </w:rPr>
        <w:t xml:space="preserve"> Российской Федерации от 21</w:t>
      </w:r>
      <w:r w:rsidR="007055C0">
        <w:rPr>
          <w:sz w:val="28"/>
          <w:szCs w:val="28"/>
        </w:rPr>
        <w:t xml:space="preserve"> июля </w:t>
      </w:r>
      <w:r w:rsidR="0042571E" w:rsidRPr="0042571E">
        <w:rPr>
          <w:sz w:val="28"/>
          <w:szCs w:val="28"/>
        </w:rPr>
        <w:t>1993</w:t>
      </w:r>
      <w:r w:rsidR="007055C0">
        <w:rPr>
          <w:sz w:val="28"/>
          <w:szCs w:val="28"/>
        </w:rPr>
        <w:t> г.</w:t>
      </w:r>
      <w:r w:rsidR="0042571E" w:rsidRPr="0042571E">
        <w:rPr>
          <w:sz w:val="28"/>
          <w:szCs w:val="28"/>
        </w:rPr>
        <w:t xml:space="preserve"> №</w:t>
      </w:r>
      <w:r w:rsidR="00427C8D">
        <w:rPr>
          <w:sz w:val="28"/>
          <w:szCs w:val="28"/>
        </w:rPr>
        <w:t> </w:t>
      </w:r>
      <w:r w:rsidR="0042571E" w:rsidRPr="0042571E">
        <w:rPr>
          <w:sz w:val="28"/>
          <w:szCs w:val="28"/>
        </w:rPr>
        <w:t>5485-1 "О</w:t>
      </w:r>
      <w:r w:rsidR="00427C8D">
        <w:rPr>
          <w:sz w:val="28"/>
          <w:szCs w:val="28"/>
        </w:rPr>
        <w:t> </w:t>
      </w:r>
      <w:r w:rsidR="0042571E" w:rsidRPr="0042571E">
        <w:rPr>
          <w:sz w:val="28"/>
          <w:szCs w:val="28"/>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rPr>
        <w:t xml:space="preserve">Федеральный </w:t>
      </w:r>
      <w:hyperlink r:id="rId10" w:history="1">
        <w:r w:rsidRPr="0042571E">
          <w:rPr>
            <w:sz w:val="28"/>
            <w:szCs w:val="28"/>
          </w:rPr>
          <w:t>закон</w:t>
        </w:r>
      </w:hyperlink>
      <w:r w:rsidRPr="0042571E">
        <w:rPr>
          <w:sz w:val="28"/>
          <w:szCs w:val="28"/>
        </w:rPr>
        <w:t xml:space="preserve"> от 12</w:t>
      </w:r>
      <w:r w:rsidR="007055C0">
        <w:rPr>
          <w:sz w:val="28"/>
          <w:szCs w:val="28"/>
        </w:rPr>
        <w:t xml:space="preserve"> января </w:t>
      </w:r>
      <w:r w:rsidRPr="0042571E">
        <w:rPr>
          <w:sz w:val="28"/>
          <w:szCs w:val="28"/>
        </w:rPr>
        <w:t>1996</w:t>
      </w:r>
      <w:r w:rsidR="007055C0">
        <w:rPr>
          <w:sz w:val="28"/>
          <w:szCs w:val="28"/>
        </w:rPr>
        <w:t> г.</w:t>
      </w:r>
      <w:r w:rsidRPr="0042571E">
        <w:rPr>
          <w:sz w:val="28"/>
          <w:szCs w:val="28"/>
        </w:rPr>
        <w:t xml:space="preserve"> № 7-ФЗ </w:t>
      </w:r>
      <w:r w:rsidR="00955BE2">
        <w:rPr>
          <w:sz w:val="28"/>
          <w:szCs w:val="28"/>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w:t>
      </w:r>
      <w:hyperlink r:id="rId11" w:history="1">
        <w:r w:rsidRPr="0042571E">
          <w:rPr>
            <w:sz w:val="28"/>
            <w:szCs w:val="28"/>
          </w:rPr>
          <w:t>закон</w:t>
        </w:r>
      </w:hyperlink>
      <w:r w:rsidRPr="0042571E">
        <w:rPr>
          <w:sz w:val="28"/>
          <w:szCs w:val="20"/>
          <w:lang w:eastAsia="ar-SA"/>
        </w:rPr>
        <w:t>от 27.07.2006 №</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rPr>
        <w:t>Федеральный закон от 26.12.2008 №</w:t>
      </w:r>
      <w:r w:rsidR="00427C8D">
        <w:rPr>
          <w:sz w:val="28"/>
          <w:szCs w:val="28"/>
        </w:rPr>
        <w:t> </w:t>
      </w:r>
      <w:r w:rsidRPr="0042571E">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rPr>
        <w:t>Федеральный</w:t>
      </w:r>
      <w:r w:rsidRPr="0042571E">
        <w:rPr>
          <w:sz w:val="28"/>
          <w:szCs w:val="28"/>
          <w:lang w:eastAsia="ar-SA"/>
        </w:rPr>
        <w:t xml:space="preserve"> закон от 09.02.2009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732463"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732463"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732463"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732463"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42571E" w:rsidRPr="0042571E">
        <w:rPr>
          <w:sz w:val="28"/>
          <w:szCs w:val="20"/>
          <w:lang w:eastAsia="ar-SA"/>
        </w:rPr>
        <w:t>Министерства экономического развития Российской Федерации от 30.04.2009 №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3-173(176,177)-2015)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региональногогосударственного контроля (надзора) на территорииПермского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 </w:t>
      </w:r>
      <w:r w:rsidRPr="001D50CD">
        <w:rPr>
          <w:rFonts w:eastAsia="Calibri"/>
          <w:sz w:val="28"/>
          <w:szCs w:val="28"/>
        </w:rPr>
        <w:t>5, от 01</w:t>
      </w:r>
      <w:r w:rsidR="00E61653">
        <w:rPr>
          <w:rFonts w:eastAsia="Calibri"/>
          <w:sz w:val="28"/>
          <w:szCs w:val="28"/>
        </w:rPr>
        <w:t xml:space="preserve"> </w:t>
      </w:r>
      <w:r w:rsidR="00E61653">
        <w:rPr>
          <w:rFonts w:eastAsia="Calibri"/>
          <w:sz w:val="28"/>
          <w:szCs w:val="28"/>
        </w:rPr>
        <w:lastRenderedPageBreak/>
        <w:t xml:space="preserve">марта </w:t>
      </w:r>
      <w:r w:rsidRPr="001D50CD">
        <w:rPr>
          <w:rFonts w:eastAsia="Calibri"/>
          <w:sz w:val="28"/>
          <w:szCs w:val="28"/>
        </w:rPr>
        <w:t>2011</w:t>
      </w:r>
      <w:r w:rsidR="00E61653">
        <w:rPr>
          <w:rFonts w:eastAsia="Calibri"/>
          <w:sz w:val="28"/>
          <w:szCs w:val="28"/>
        </w:rPr>
        <w:t> г.№ </w:t>
      </w:r>
      <w:r w:rsidRPr="001D50CD">
        <w:rPr>
          <w:rFonts w:eastAsia="Calibri"/>
          <w:sz w:val="28"/>
          <w:szCs w:val="28"/>
        </w:rPr>
        <w:t>16,от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 </w:t>
      </w:r>
      <w:r w:rsidRPr="001D50CD">
        <w:rPr>
          <w:rFonts w:eastAsia="Calibri"/>
          <w:sz w:val="28"/>
          <w:szCs w:val="28"/>
        </w:rPr>
        <w:t>12,от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 </w:t>
      </w:r>
      <w:r w:rsidRPr="001D50CD">
        <w:rPr>
          <w:rFonts w:eastAsia="Calibri"/>
          <w:sz w:val="28"/>
          <w:szCs w:val="28"/>
        </w:rPr>
        <w:t>171,с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xml:space="preserve"> г.№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732463"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00FC5450">
        <w:rPr>
          <w:rFonts w:eastAsia="Calibri"/>
          <w:sz w:val="28"/>
          <w:szCs w:val="28"/>
        </w:rPr>
        <w:t>№ </w:t>
      </w:r>
      <w:r w:rsidRPr="00304229">
        <w:rPr>
          <w:rFonts w:eastAsia="Calibri"/>
          <w:sz w:val="28"/>
          <w:szCs w:val="28"/>
        </w:rPr>
        <w:t>426"О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00FC5450">
        <w:rPr>
          <w:rFonts w:eastAsia="Calibri"/>
          <w:sz w:val="28"/>
          <w:szCs w:val="28"/>
        </w:rPr>
        <w:t>№ </w:t>
      </w:r>
      <w:r w:rsidRPr="00457B10">
        <w:rPr>
          <w:rFonts w:eastAsia="Calibri"/>
          <w:sz w:val="28"/>
          <w:szCs w:val="28"/>
        </w:rPr>
        <w:t>476"О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00BA1EB5">
        <w:rPr>
          <w:sz w:val="28"/>
          <w:szCs w:val="28"/>
        </w:rPr>
        <w:t>№ </w:t>
      </w:r>
      <w:r w:rsidRPr="001A2696">
        <w:rPr>
          <w:sz w:val="28"/>
          <w:szCs w:val="28"/>
        </w:rPr>
        <w:t>1062"О лицензировании деятельности по сбору, транспортированию, обработке, утилизации, обезвреживанию, размещению отходов I - IV классов опасности"(вместе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00BA1EB5">
        <w:rPr>
          <w:rFonts w:eastAsia="Calibri"/>
          <w:sz w:val="28"/>
          <w:szCs w:val="28"/>
        </w:rPr>
        <w:t>№ </w:t>
      </w:r>
      <w:r w:rsidRPr="001302CE">
        <w:rPr>
          <w:rFonts w:eastAsia="Calibri"/>
          <w:sz w:val="28"/>
          <w:szCs w:val="28"/>
        </w:rPr>
        <w:t>712"О порядке проведения паспортизации отходов I - IV классов опасности"(вместе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rPr>
        <w:t xml:space="preserve">Федеральный </w:t>
      </w:r>
      <w:hyperlink r:id="rId20" w:history="1">
        <w:r w:rsidRPr="0042571E">
          <w:rPr>
            <w:sz w:val="28"/>
            <w:szCs w:val="28"/>
          </w:rPr>
          <w:t>закон</w:t>
        </w:r>
      </w:hyperlink>
      <w:r w:rsidRPr="0042571E">
        <w:rPr>
          <w:sz w:val="28"/>
          <w:szCs w:val="28"/>
        </w:rPr>
        <w:t xml:space="preserve"> от 26.09.1997</w:t>
      </w:r>
      <w:r>
        <w:rPr>
          <w:sz w:val="28"/>
          <w:szCs w:val="28"/>
        </w:rPr>
        <w:t xml:space="preserve"> г.</w:t>
      </w:r>
      <w:r w:rsidRPr="0042571E">
        <w:rPr>
          <w:sz w:val="28"/>
          <w:szCs w:val="28"/>
        </w:rPr>
        <w:t xml:space="preserve"> № 125-ФЗ "О свободе совести и</w:t>
      </w:r>
      <w:r>
        <w:rPr>
          <w:sz w:val="28"/>
          <w:szCs w:val="28"/>
        </w:rPr>
        <w:t> </w:t>
      </w:r>
      <w:r w:rsidRPr="0042571E">
        <w:rPr>
          <w:sz w:val="28"/>
          <w:szCs w:val="28"/>
        </w:rPr>
        <w:t>о</w:t>
      </w:r>
      <w:r>
        <w:rPr>
          <w:sz w:val="28"/>
          <w:szCs w:val="28"/>
        </w:rPr>
        <w:t> религиозных объединениях"</w:t>
      </w:r>
      <w:r w:rsidR="00BB3E7A">
        <w:rPr>
          <w:sz w:val="28"/>
          <w:szCs w:val="28"/>
        </w:rPr>
        <w:t>.</w:t>
      </w:r>
    </w:p>
    <w:p w:rsidR="0042571E" w:rsidRPr="0042571E" w:rsidRDefault="00732463"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w:t>
      </w:r>
      <w:r w:rsidR="0042571E" w:rsidRPr="0042571E">
        <w:rPr>
          <w:sz w:val="28"/>
          <w:szCs w:val="28"/>
        </w:rPr>
        <w:lastRenderedPageBreak/>
        <w:t xml:space="preserve">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744289">
        <w:rPr>
          <w:sz w:val="28"/>
          <w:szCs w:val="20"/>
          <w:lang w:eastAsia="ar-SA"/>
        </w:rPr>
        <w:t>.</w:t>
      </w:r>
    </w:p>
    <w:p w:rsidR="0042571E" w:rsidRPr="0042571E" w:rsidRDefault="00732463"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10.12.2013</w:t>
      </w:r>
      <w:r w:rsidR="00744289">
        <w:rPr>
          <w:sz w:val="28"/>
          <w:szCs w:val="20"/>
          <w:lang w:eastAsia="ar-SA"/>
        </w:rPr>
        <w:t> г.</w:t>
      </w:r>
      <w:r w:rsidR="0042571E" w:rsidRPr="0042571E">
        <w:rPr>
          <w:sz w:val="28"/>
          <w:szCs w:val="20"/>
          <w:lang w:eastAsia="ar-SA"/>
        </w:rPr>
        <w:t xml:space="preserve"> № 1320 «Об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744289">
        <w:rPr>
          <w:sz w:val="28"/>
          <w:szCs w:val="20"/>
          <w:lang w:eastAsia="ar-SA"/>
        </w:rPr>
        <w:t>.</w:t>
      </w:r>
    </w:p>
    <w:p w:rsidR="0042571E" w:rsidRPr="0042571E" w:rsidRDefault="00732463"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w:t>
      </w:r>
      <w:r w:rsidR="00744289">
        <w:rPr>
          <w:sz w:val="28"/>
          <w:szCs w:val="20"/>
          <w:lang w:eastAsia="ar-SA"/>
        </w:rPr>
        <w:t> </w:t>
      </w:r>
      <w:r w:rsidR="0042571E" w:rsidRPr="0042571E">
        <w:rPr>
          <w:sz w:val="28"/>
          <w:szCs w:val="20"/>
          <w:lang w:eastAsia="ar-SA"/>
        </w:rPr>
        <w:t>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 xml:space="preserve">№ 275 «Об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Рособрнадзора от 18.04.2014 №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 556 «Об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lastRenderedPageBreak/>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 244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w:t>
      </w:r>
      <w:r w:rsidR="00DD54F6">
        <w:rPr>
          <w:sz w:val="28"/>
          <w:szCs w:val="20"/>
          <w:lang w:eastAsia="ar-SA"/>
        </w:rPr>
        <w:t> </w:t>
      </w:r>
      <w:r w:rsidR="0042571E" w:rsidRPr="0042571E">
        <w:rPr>
          <w:sz w:val="28"/>
          <w:szCs w:val="20"/>
          <w:lang w:eastAsia="ar-SA"/>
        </w:rPr>
        <w:t>667 «Об утверждении форм сведений о реализации образовательных программ, заявленных для государственной аккредитации образовательной деятельности».</w:t>
      </w:r>
    </w:p>
    <w:p w:rsidR="0042571E" w:rsidRPr="0042571E" w:rsidRDefault="00DD54F6" w:rsidP="00A622E0">
      <w:pPr>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Пермского края от 14.12.2013 № 1753-п "Об утверждении Положения о Государственной инспекции понадзору и</w:t>
      </w:r>
      <w:r w:rsidR="00F414A7">
        <w:rPr>
          <w:sz w:val="28"/>
          <w:szCs w:val="28"/>
        </w:rPr>
        <w:t> </w:t>
      </w:r>
      <w:r w:rsidR="0042571E" w:rsidRPr="0042571E">
        <w:rPr>
          <w:sz w:val="28"/>
          <w:szCs w:val="28"/>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Пермского края от 16.01.2015</w:t>
      </w:r>
      <w:r>
        <w:rPr>
          <w:sz w:val="28"/>
          <w:szCs w:val="28"/>
        </w:rPr>
        <w:t> г.</w:t>
      </w:r>
      <w:r w:rsidR="0042571E" w:rsidRPr="0042571E">
        <w:rPr>
          <w:sz w:val="28"/>
          <w:szCs w:val="28"/>
        </w:rPr>
        <w:t xml:space="preserve"> №</w:t>
      </w:r>
      <w:r>
        <w:rPr>
          <w:sz w:val="28"/>
          <w:szCs w:val="28"/>
        </w:rPr>
        <w:t> </w:t>
      </w:r>
      <w:r w:rsidR="0042571E" w:rsidRPr="0042571E">
        <w:rPr>
          <w:sz w:val="28"/>
          <w:szCs w:val="28"/>
        </w:rPr>
        <w:t>21-п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732463"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lastRenderedPageBreak/>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техническимсостоянием самоходных машин и других видовтехники в</w:t>
      </w:r>
      <w:r w:rsidR="00C42AAA">
        <w:rPr>
          <w:sz w:val="28"/>
          <w:szCs w:val="28"/>
          <w:lang w:eastAsia="ar-SA"/>
        </w:rPr>
        <w:t> </w:t>
      </w:r>
      <w:r w:rsidR="00C42AAA" w:rsidRPr="00C42AAA">
        <w:rPr>
          <w:sz w:val="28"/>
          <w:szCs w:val="28"/>
          <w:lang w:eastAsia="ar-SA"/>
        </w:rPr>
        <w:t>Российской Федерации(в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w:t>
      </w:r>
      <w:r w:rsidRPr="00F414A7">
        <w:rPr>
          <w:sz w:val="28"/>
          <w:szCs w:val="28"/>
        </w:rPr>
        <w:lastRenderedPageBreak/>
        <w:t>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помещением,аварийным и подлежащим сносу».</w:t>
      </w:r>
    </w:p>
    <w:p w:rsidR="00466879" w:rsidRDefault="00466879" w:rsidP="00A622E0">
      <w:pPr>
        <w:spacing w:line="360" w:lineRule="exact"/>
        <w:ind w:firstLine="709"/>
        <w:jc w:val="both"/>
        <w:rPr>
          <w:sz w:val="28"/>
          <w:szCs w:val="28"/>
        </w:rPr>
      </w:pPr>
      <w:r>
        <w:rPr>
          <w:sz w:val="28"/>
          <w:szCs w:val="28"/>
        </w:rPr>
        <w:lastRenderedPageBreak/>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732463"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w:t>
      </w:r>
      <w:r w:rsidR="00466879" w:rsidRPr="00ED534E">
        <w:rPr>
          <w:sz w:val="28"/>
        </w:rPr>
        <w:lastRenderedPageBreak/>
        <w:t xml:space="preserve">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lastRenderedPageBreak/>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 xml:space="preserve">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w:t>
      </w:r>
      <w:r w:rsidRPr="003F0ECD">
        <w:rPr>
          <w:sz w:val="28"/>
          <w:szCs w:val="28"/>
        </w:rPr>
        <w:lastRenderedPageBreak/>
        <w:t>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lastRenderedPageBreak/>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lastRenderedPageBreak/>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026410">
        <w:rPr>
          <w:sz w:val="28"/>
          <w:szCs w:val="28"/>
        </w:rPr>
        <w:t>№</w:t>
      </w:r>
      <w:r w:rsidRPr="005E4CC5">
        <w:rPr>
          <w:sz w:val="28"/>
          <w:szCs w:val="28"/>
        </w:rPr>
        <w:t xml:space="preserve"> 57, "Собрание законодательства РФ", 20 марта 1995 г.,</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026410">
        <w:rPr>
          <w:sz w:val="28"/>
          <w:szCs w:val="28"/>
        </w:rPr>
        <w:t>№</w:t>
      </w:r>
      <w:r w:rsidRPr="005E4CC5">
        <w:rPr>
          <w:sz w:val="28"/>
          <w:szCs w:val="28"/>
        </w:rPr>
        <w:t xml:space="preserve"> 96-ФЗ "Об охране атмосферного воздуха" ("Российская газета", 13 мая 1999 г.,</w:t>
      </w:r>
      <w:r w:rsidR="00026410">
        <w:rPr>
          <w:sz w:val="28"/>
          <w:szCs w:val="28"/>
        </w:rPr>
        <w:t>№</w:t>
      </w:r>
      <w:r w:rsidRPr="005E4CC5">
        <w:rPr>
          <w:sz w:val="28"/>
          <w:szCs w:val="28"/>
        </w:rPr>
        <w:t xml:space="preserve"> 91, "Собрание законодательства РФ", 3 мая 1999 г.,</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026410">
        <w:rPr>
          <w:sz w:val="28"/>
          <w:szCs w:val="28"/>
        </w:rPr>
        <w:t>№</w:t>
      </w:r>
      <w:r w:rsidRPr="005E4CC5">
        <w:rPr>
          <w:sz w:val="28"/>
          <w:szCs w:val="28"/>
        </w:rPr>
        <w:t xml:space="preserve"> 10, ст. 823, "Российская газета", 15 марта 1995 г.,</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614-ПК,от 27</w:t>
      </w:r>
      <w:r>
        <w:rPr>
          <w:sz w:val="28"/>
          <w:szCs w:val="28"/>
        </w:rPr>
        <w:t xml:space="preserve"> марта </w:t>
      </w:r>
      <w:r w:rsidRPr="00A70AB0">
        <w:rPr>
          <w:sz w:val="28"/>
          <w:szCs w:val="28"/>
        </w:rPr>
        <w:t>2012</w:t>
      </w:r>
      <w:r>
        <w:rPr>
          <w:sz w:val="28"/>
          <w:szCs w:val="28"/>
        </w:rPr>
        <w:t xml:space="preserve"> года№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 xml:space="preserve">экологии Пермского края от 2 июня 2015 г. № СЭД-30-01-02-665 </w:t>
      </w:r>
      <w:r w:rsidRPr="0077123A">
        <w:rPr>
          <w:sz w:val="28"/>
          <w:szCs w:val="28"/>
        </w:rPr>
        <w:lastRenderedPageBreak/>
        <w:t>«Об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lastRenderedPageBreak/>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lastRenderedPageBreak/>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 xml:space="preserve">области регулируемых цен (тарифов) в электроэнергетике", "Правилами </w:t>
      </w:r>
      <w:r w:rsidRPr="00C0764C">
        <w:rPr>
          <w:sz w:val="28"/>
          <w:szCs w:val="28"/>
        </w:rPr>
        <w:lastRenderedPageBreak/>
        <w:t>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ПостановлениеПравительство Пермского краяо</w:t>
      </w:r>
      <w:r>
        <w:rPr>
          <w:sz w:val="28"/>
          <w:szCs w:val="28"/>
        </w:rPr>
        <w:t>т 5 августа 2013</w:t>
      </w:r>
      <w:r w:rsidR="004C243F">
        <w:rPr>
          <w:sz w:val="28"/>
          <w:szCs w:val="28"/>
        </w:rPr>
        <w:t> </w:t>
      </w:r>
      <w:r>
        <w:rPr>
          <w:sz w:val="28"/>
          <w:szCs w:val="28"/>
        </w:rPr>
        <w:t>г. № </w:t>
      </w:r>
      <w:r w:rsidRPr="007E1C76">
        <w:rPr>
          <w:sz w:val="28"/>
          <w:szCs w:val="28"/>
        </w:rPr>
        <w:t>1057-п</w:t>
      </w:r>
      <w:r w:rsidR="004C243F">
        <w:rPr>
          <w:sz w:val="28"/>
          <w:szCs w:val="28"/>
        </w:rPr>
        <w:t>«</w:t>
      </w:r>
      <w:r w:rsidR="004C243F" w:rsidRPr="007E1C76">
        <w:rPr>
          <w:sz w:val="28"/>
          <w:szCs w:val="28"/>
        </w:rPr>
        <w:t>Об утверждении положения о региональной службе по тарифамПермского края</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lastRenderedPageBreak/>
        <w:t>Приказ МинистерствасельскогохозяйстваРоссийскойФедерацииот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 xml:space="preserve">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w:t>
      </w:r>
      <w:r w:rsidRPr="00A77E83">
        <w:rPr>
          <w:sz w:val="28"/>
          <w:szCs w:val="28"/>
        </w:rPr>
        <w:lastRenderedPageBreak/>
        <w:t>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ПостановлениеПравительств</w:t>
      </w:r>
      <w:r>
        <w:rPr>
          <w:sz w:val="28"/>
          <w:szCs w:val="28"/>
        </w:rPr>
        <w:t>а</w:t>
      </w:r>
      <w:r w:rsidRPr="00852728">
        <w:rPr>
          <w:sz w:val="28"/>
          <w:szCs w:val="28"/>
        </w:rPr>
        <w:t xml:space="preserve"> Пермского краяот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 </w:t>
      </w:r>
      <w:r w:rsidRPr="00852728">
        <w:rPr>
          <w:sz w:val="28"/>
          <w:szCs w:val="28"/>
        </w:rPr>
        <w:t>415-п,от 12</w:t>
      </w:r>
      <w:r>
        <w:rPr>
          <w:sz w:val="28"/>
          <w:szCs w:val="28"/>
        </w:rPr>
        <w:t xml:space="preserve"> января </w:t>
      </w:r>
      <w:r w:rsidRPr="00852728">
        <w:rPr>
          <w:sz w:val="28"/>
          <w:szCs w:val="28"/>
        </w:rPr>
        <w:t>2012</w:t>
      </w:r>
      <w:r>
        <w:rPr>
          <w:sz w:val="28"/>
          <w:szCs w:val="28"/>
        </w:rPr>
        <w:t> г.№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 </w:t>
      </w:r>
      <w:r w:rsidRPr="00852728">
        <w:rPr>
          <w:sz w:val="28"/>
          <w:szCs w:val="28"/>
        </w:rPr>
        <w:t>612-п,от 25</w:t>
      </w:r>
      <w:r>
        <w:rPr>
          <w:sz w:val="28"/>
          <w:szCs w:val="28"/>
        </w:rPr>
        <w:t xml:space="preserve"> декабря </w:t>
      </w:r>
      <w:r w:rsidRPr="00852728">
        <w:rPr>
          <w:sz w:val="28"/>
          <w:szCs w:val="28"/>
        </w:rPr>
        <w:t>2015</w:t>
      </w:r>
      <w:r>
        <w:rPr>
          <w:sz w:val="28"/>
          <w:szCs w:val="28"/>
        </w:rPr>
        <w:t> г.№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54676E">
        <w:rPr>
          <w:sz w:val="28"/>
          <w:szCs w:val="28"/>
        </w:rPr>
        <w:lastRenderedPageBreak/>
        <w:t>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w:t>
      </w:r>
      <w:r w:rsidRPr="0054676E">
        <w:rPr>
          <w:sz w:val="28"/>
          <w:szCs w:val="28"/>
        </w:rPr>
        <w:t>489»</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 xml:space="preserve">утверждении Административного регламента Министерства промышленности, предпринимательства и торговли Пермского края </w:t>
      </w:r>
      <w:r w:rsidRPr="0054676E">
        <w:rPr>
          <w:sz w:val="28"/>
          <w:szCs w:val="28"/>
        </w:rPr>
        <w:lastRenderedPageBreak/>
        <w:t>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lastRenderedPageBreak/>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lastRenderedPageBreak/>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p>
    <w:p w:rsidR="00DF201E" w:rsidRPr="00672025" w:rsidRDefault="00DF201E" w:rsidP="00A622E0">
      <w:pPr>
        <w:suppressAutoHyphens/>
        <w:spacing w:line="360" w:lineRule="exact"/>
        <w:ind w:firstLine="567"/>
        <w:jc w:val="both"/>
        <w:rPr>
          <w:sz w:val="28"/>
          <w:szCs w:val="28"/>
        </w:rPr>
      </w:pPr>
      <w:r w:rsidRPr="006F67B6">
        <w:rPr>
          <w:sz w:val="28"/>
          <w:szCs w:val="28"/>
        </w:rPr>
        <w:lastRenderedPageBreak/>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 xml:space="preserve">соблюдением юридическими лицами и индивидуальными предпринимателями требований по перевозке пассажиров и багажа легковым </w:t>
      </w:r>
      <w:r w:rsidRPr="0090113A">
        <w:rPr>
          <w:rFonts w:eastAsia="Calibri"/>
          <w:sz w:val="28"/>
          <w:szCs w:val="28"/>
        </w:rPr>
        <w:lastRenderedPageBreak/>
        <w:t>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10"/>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002B5AED">
        <w:rPr>
          <w:sz w:val="28"/>
          <w:szCs w:val="28"/>
        </w:rPr>
        <w:t>3</w:t>
      </w:r>
      <w:r w:rsidR="00E13416">
        <w:rPr>
          <w:sz w:val="28"/>
          <w:szCs w:val="28"/>
        </w:rPr>
        <w:t>5</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1"/>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sz w:val="28"/>
          <w:szCs w:val="28"/>
        </w:rPr>
        <w:lastRenderedPageBreak/>
        <w:t>(</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2"/>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 xml:space="preserve">государственный экологический надзор при осуществлении хозяйственной и </w:t>
            </w:r>
            <w:r w:rsidR="005517AF" w:rsidRPr="00537B84">
              <w:rPr>
                <w:rFonts w:eastAsia="Calibri"/>
                <w:sz w:val="28"/>
                <w:szCs w:val="28"/>
                <w:lang w:eastAsia="en-US"/>
              </w:rPr>
              <w:lastRenderedPageBreak/>
              <w:t>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lastRenderedPageBreak/>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lastRenderedPageBreak/>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 xml:space="preserve">в период ответственности </w:t>
            </w:r>
            <w:r w:rsidR="00C1094D" w:rsidRPr="00537B84">
              <w:rPr>
                <w:rFonts w:eastAsia="Calibri"/>
                <w:sz w:val="28"/>
                <w:szCs w:val="28"/>
                <w:lang w:eastAsia="en-US"/>
              </w:rPr>
              <w:lastRenderedPageBreak/>
              <w:t>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lastRenderedPageBreak/>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 xml:space="preserve">за соблюдением </w:t>
            </w:r>
            <w:r w:rsidR="00291539" w:rsidRPr="00537B84">
              <w:rPr>
                <w:rFonts w:eastAsia="Calibri"/>
                <w:sz w:val="28"/>
                <w:szCs w:val="28"/>
                <w:lang w:eastAsia="en-US"/>
              </w:rPr>
              <w:lastRenderedPageBreak/>
              <w:t>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lastRenderedPageBreak/>
              <w:t xml:space="preserve">Министерство строительства и </w:t>
            </w:r>
            <w:r w:rsidRPr="00537B84">
              <w:rPr>
                <w:rFonts w:eastAsia="Calibri"/>
                <w:sz w:val="28"/>
                <w:szCs w:val="28"/>
                <w:lang w:eastAsia="en-US"/>
              </w:rPr>
              <w:lastRenderedPageBreak/>
              <w:t>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lastRenderedPageBreak/>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 xml:space="preserve">государственный контроль регулируемых государством цен (тарифов) в электроэнергетике, в том числе в части использования </w:t>
            </w:r>
            <w:r w:rsidR="00523228" w:rsidRPr="00537B84">
              <w:rPr>
                <w:rFonts w:eastAsia="Calibri"/>
                <w:sz w:val="28"/>
                <w:szCs w:val="28"/>
                <w:lang w:eastAsia="en-US"/>
              </w:rPr>
              <w:lastRenderedPageBreak/>
              <w:t>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lastRenderedPageBreak/>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w:t>
            </w:r>
            <w:r w:rsidR="00E13416" w:rsidRPr="007F41DA">
              <w:rPr>
                <w:rFonts w:eastAsia="Calibri"/>
                <w:sz w:val="28"/>
                <w:szCs w:val="28"/>
                <w:lang w:eastAsia="en-US"/>
              </w:rPr>
              <w:lastRenderedPageBreak/>
              <w:t>обороту наркотических средств и психотропных веществ в части, осуществляемой Федеральной службой понадзору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lastRenderedPageBreak/>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lastRenderedPageBreak/>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3"/>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4"/>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lastRenderedPageBreak/>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00412C25" w:rsidRPr="00254DB9">
        <w:rPr>
          <w:sz w:val="28"/>
          <w:szCs w:val="28"/>
        </w:rPr>
        <w:t>исполнительными органами государственной власти</w:t>
      </w:r>
      <w:r w:rsidR="0057071C">
        <w:rPr>
          <w:sz w:val="28"/>
          <w:szCs w:val="28"/>
        </w:rPr>
        <w:t>Пермского края</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5"/>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6"/>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7"/>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8"/>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9"/>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lastRenderedPageBreak/>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20"/>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 xml:space="preserve">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w:t>
      </w:r>
      <w:r>
        <w:rPr>
          <w:rFonts w:eastAsia="Calibri"/>
          <w:sz w:val="28"/>
          <w:szCs w:val="28"/>
        </w:rPr>
        <w:lastRenderedPageBreak/>
        <w:t>домами – лицензионный контроль), в том числе 27 – плановых.О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произведёнперерасчёт</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 xml:space="preserve">000записей.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lastRenderedPageBreak/>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1"/>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w:t>
      </w:r>
      <w:r w:rsidRPr="00381DEB">
        <w:rPr>
          <w:sz w:val="28"/>
          <w:szCs w:val="28"/>
        </w:rPr>
        <w:lastRenderedPageBreak/>
        <w:t xml:space="preserve">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2"/>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w:t>
            </w:r>
            <w:r w:rsidRPr="00A266F6">
              <w:rPr>
                <w:sz w:val="28"/>
                <w:szCs w:val="28"/>
              </w:rPr>
              <w:lastRenderedPageBreak/>
              <w:t>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w:t>
            </w:r>
            <w:r w:rsidRPr="00A266F6">
              <w:rPr>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A266F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w:t>
            </w:r>
            <w:r w:rsidRPr="00A266F6">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lastRenderedPageBreak/>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3"/>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4"/>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5"/>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lastRenderedPageBreak/>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 xml:space="preserve">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w:t>
      </w:r>
      <w:r w:rsidRPr="004A3E2F">
        <w:rPr>
          <w:bCs/>
          <w:color w:val="000000"/>
          <w:kern w:val="24"/>
          <w:sz w:val="28"/>
          <w:szCs w:val="28"/>
        </w:rPr>
        <w:lastRenderedPageBreak/>
        <w:t>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lastRenderedPageBreak/>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w:t>
      </w:r>
      <w:r w:rsidRPr="002028FC">
        <w:rPr>
          <w:bCs/>
          <w:color w:val="000000"/>
          <w:kern w:val="24"/>
          <w:sz w:val="28"/>
          <w:szCs w:val="28"/>
        </w:rPr>
        <w:lastRenderedPageBreak/>
        <w:t xml:space="preserve">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6"/>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 xml:space="preserve">Структурным подразделением, ответственным за организацию работыпо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Pr>
          <w:bCs/>
          <w:sz w:val="28"/>
          <w:szCs w:val="28"/>
        </w:rPr>
        <w:t xml:space="preserve">отдел </w:t>
      </w:r>
      <w:r>
        <w:rPr>
          <w:bCs/>
          <w:sz w:val="28"/>
          <w:szCs w:val="28"/>
        </w:rPr>
        <w:lastRenderedPageBreak/>
        <w:t>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 xml:space="preserve">Министерство в 2015 годув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Министерствавыполняет</w:t>
      </w:r>
      <w:r w:rsidRPr="008B04A1">
        <w:rPr>
          <w:iCs/>
          <w:sz w:val="28"/>
          <w:szCs w:val="28"/>
        </w:rPr>
        <w:t xml:space="preserve"> основные и вспомогательные функции</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иныхнормативных правовых актов Пермского края по вопросам государственногорегулирования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надзорнымиорганами, органами местного самоуправления муниципальных образованийПермского края по вопросам регулирования рынка этилового спирта,алкогольной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Пермскогокраягосударственной пошлины за предоставление лицензий нарозничную продажу алкогольной продукции, выдаваемых органамиисполнительной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переоформлениелицензий на розничную продажу алкогольной продукции, а такжеприостановление,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lastRenderedPageBreak/>
        <w:t>-</w:t>
      </w:r>
      <w:r w:rsidR="0024565E">
        <w:rPr>
          <w:iCs/>
          <w:sz w:val="28"/>
          <w:szCs w:val="28"/>
        </w:rPr>
        <w:t> </w:t>
      </w:r>
      <w:r w:rsidRPr="00663A49">
        <w:rPr>
          <w:iCs/>
          <w:sz w:val="28"/>
          <w:szCs w:val="28"/>
        </w:rPr>
        <w:t>обращается в суд или уполномоченный Правительством РоссийскойФедерации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совместныхпрограмм производства и оборота этилового спирта, алкогольной испиртосодержащей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устанавливает перечень должностных лиц Министерства, имеющихправо составлять протоколы об административных правонарушениях,предусмотренных частями 2 и 3 статьи 14.1, частью 2 статьи 14.16, </w:t>
      </w:r>
      <w:r w:rsidR="0024565E" w:rsidRPr="00663A49">
        <w:rPr>
          <w:iCs/>
          <w:sz w:val="28"/>
          <w:szCs w:val="28"/>
        </w:rPr>
        <w:t>статьёй</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sidR="0024565E" w:rsidRPr="00663A49">
        <w:rPr>
          <w:iCs/>
          <w:sz w:val="28"/>
          <w:szCs w:val="28"/>
        </w:rPr>
        <w:t>статьёй</w:t>
      </w:r>
      <w:r w:rsidRPr="00663A49">
        <w:rPr>
          <w:iCs/>
          <w:sz w:val="28"/>
          <w:szCs w:val="28"/>
        </w:rPr>
        <w:t xml:space="preserve"> 19.26 Кодекса Российской Федерации об административныхправонарушениях;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вопросамлицензирования, включая размещение этой информации в информационно-телекоммуникационной сети Интернет на официальных сайтах лицензирующихорганов с указанием адресов электронной почты, по</w:t>
      </w:r>
      <w:r w:rsidR="0024565E">
        <w:rPr>
          <w:iCs/>
          <w:sz w:val="28"/>
          <w:szCs w:val="28"/>
        </w:rPr>
        <w:t> </w:t>
      </w:r>
      <w:r w:rsidRPr="00663A49">
        <w:rPr>
          <w:iCs/>
          <w:sz w:val="28"/>
          <w:szCs w:val="28"/>
        </w:rPr>
        <w:t>которым пользователямиэтой информацией могут быть направлены запросы и получена запрашиваемаяинформация;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результатыпроверок организаций, сведения, получаемые от федеральных органовисполнительной власти, органов местного самоуправления, общественныхобъединений, организаций в сфере производства и оборота этилового спирта,алкогольной и спиртосодержащей продукциина территории Пермскогокрая;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нимрешений и направление ответов в установленный срок по вопросамдеятельности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оказывает гражданам бесплатную юридическую помощь в видеправового консультирования в устной и письменной форме по вопросам,относящимся к его компетенции, в порядке, установленном </w:t>
      </w:r>
      <w:r w:rsidRPr="00663A49">
        <w:rPr>
          <w:iCs/>
          <w:sz w:val="28"/>
          <w:szCs w:val="28"/>
        </w:rPr>
        <w:lastRenderedPageBreak/>
        <w:t>законодательствомРоссийской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сведений,составляющих государственную тайну, и сведений конфиденциальногохарактера;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осуществляет в соответствии с законодательством РоссийскойФедерации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ежегодногопланапроверок.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w:t>
      </w:r>
      <w:r w:rsidR="00D73796">
        <w:rPr>
          <w:sz w:val="28"/>
          <w:szCs w:val="28"/>
        </w:rPr>
        <w:lastRenderedPageBreak/>
        <w:t xml:space="preserve">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7"/>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лицамии индивидуальными предпринимателями, в отношении которых осуществляются контрольно-надзорные мероприятия, вреда жизнии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sidRPr="00AB185D">
        <w:rPr>
          <w:iCs/>
          <w:sz w:val="28"/>
          <w:szCs w:val="28"/>
        </w:rPr>
        <w:t>в 2015 г.не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Pr="00AB185D">
        <w:rPr>
          <w:sz w:val="28"/>
          <w:szCs w:val="28"/>
        </w:rPr>
        <w:t xml:space="preserve"> контрольных мероприятия.</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привлечено4 юридических лица</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w:t>
      </w:r>
      <w:r>
        <w:rPr>
          <w:bCs/>
          <w:sz w:val="28"/>
          <w:szCs w:val="28"/>
        </w:rPr>
        <w:lastRenderedPageBreak/>
        <w:t xml:space="preserve">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8"/>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w:t>
            </w:r>
            <w:r w:rsidRPr="0066396C">
              <w:rPr>
                <w:rFonts w:ascii="Times New Roman" w:hAnsi="Times New Roman"/>
                <w:sz w:val="28"/>
                <w:szCs w:val="28"/>
              </w:rPr>
              <w:lastRenderedPageBreak/>
              <w:t>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w:t>
            </w:r>
            <w:r w:rsidRPr="0066396C">
              <w:rPr>
                <w:rFonts w:ascii="Times New Roman" w:hAnsi="Times New Roman"/>
                <w:sz w:val="28"/>
                <w:szCs w:val="28"/>
              </w:rPr>
              <w:lastRenderedPageBreak/>
              <w:t>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по итогам которых по фактам выявленных нарушений наложены административные наказания (в процентах общего </w:t>
            </w:r>
            <w:r w:rsidRPr="0066396C">
              <w:rPr>
                <w:rFonts w:ascii="Times New Roman" w:hAnsi="Times New Roman"/>
                <w:sz w:val="28"/>
                <w:szCs w:val="28"/>
              </w:rPr>
              <w:lastRenderedPageBreak/>
              <w:t>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9"/>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lastRenderedPageBreak/>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 xml:space="preserve">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w:t>
      </w:r>
      <w:r w:rsidRPr="00B554E2">
        <w:rPr>
          <w:b w:val="0"/>
        </w:rPr>
        <w:lastRenderedPageBreak/>
        <w:t>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lastRenderedPageBreak/>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w:t>
      </w:r>
      <w:r>
        <w:rPr>
          <w:sz w:val="28"/>
          <w:szCs w:val="28"/>
        </w:rPr>
        <w:lastRenderedPageBreak/>
        <w:t>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 xml:space="preserve">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w:t>
      </w:r>
      <w:r>
        <w:rPr>
          <w:sz w:val="28"/>
          <w:szCs w:val="28"/>
        </w:rPr>
        <w:lastRenderedPageBreak/>
        <w:t>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 xml:space="preserve">объектам культурного наследия, их территориям, зонам охраны </w:t>
      </w:r>
      <w:r>
        <w:rPr>
          <w:sz w:val="28"/>
          <w:szCs w:val="28"/>
        </w:rPr>
        <w:lastRenderedPageBreak/>
        <w:t>(территориальным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lastRenderedPageBreak/>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30"/>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lastRenderedPageBreak/>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1"/>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 xml:space="preserve">Здание, гдев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 xml:space="preserve">ОАО «Судоходная компания «Камское речное </w:t>
      </w:r>
      <w:r w:rsidRPr="00654382">
        <w:rPr>
          <w:iCs/>
          <w:sz w:val="28"/>
          <w:szCs w:val="28"/>
        </w:rPr>
        <w:lastRenderedPageBreak/>
        <w:t>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2"/>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w:t>
            </w:r>
            <w:r w:rsidRPr="0066396C">
              <w:rPr>
                <w:rFonts w:ascii="Times New Roman" w:hAnsi="Times New Roman"/>
                <w:sz w:val="28"/>
                <w:szCs w:val="28"/>
              </w:rPr>
              <w:lastRenderedPageBreak/>
              <w:t>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lastRenderedPageBreak/>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66396C">
              <w:rPr>
                <w:rFonts w:ascii="Times New Roman" w:hAnsi="Times New Roman"/>
                <w:sz w:val="28"/>
                <w:szCs w:val="28"/>
              </w:rPr>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66396C">
              <w:rPr>
                <w:rFonts w:ascii="Times New Roman" w:hAnsi="Times New Roman"/>
                <w:sz w:val="28"/>
                <w:szCs w:val="28"/>
              </w:rPr>
              <w:lastRenderedPageBreak/>
              <w:t>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3"/>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lastRenderedPageBreak/>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4"/>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 xml:space="preserve">Агентство по занятости населения </w:t>
            </w:r>
            <w:r>
              <w:rPr>
                <w:color w:val="000000"/>
                <w:sz w:val="28"/>
                <w:szCs w:val="28"/>
              </w:rPr>
              <w:lastRenderedPageBreak/>
              <w:t>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lastRenderedPageBreak/>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lastRenderedPageBreak/>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5"/>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lastRenderedPageBreak/>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6"/>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lastRenderedPageBreak/>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lastRenderedPageBreak/>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Pr>
          <w:b/>
          <w:sz w:val="28"/>
          <w:szCs w:val="28"/>
        </w:rPr>
        <w:t>за 2015 год</w:t>
      </w:r>
      <w:r>
        <w:rPr>
          <w:rStyle w:val="af7"/>
          <w:b/>
          <w:sz w:val="28"/>
          <w:szCs w:val="28"/>
        </w:rPr>
        <w:footnoteReference w:id="37"/>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w:t>
            </w:r>
            <w:r w:rsidRPr="00B60463">
              <w:rPr>
                <w:sz w:val="28"/>
                <w:szCs w:val="28"/>
              </w:rPr>
              <w:lastRenderedPageBreak/>
              <w:t>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lastRenderedPageBreak/>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lastRenderedPageBreak/>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Средний размер наложенного административногоштрафа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Доля проверок, по результатам которых материалы о выявленных нарушениях переданы в уполномоченные органы для </w:t>
            </w:r>
            <w:r w:rsidRPr="00B60463">
              <w:rPr>
                <w:sz w:val="28"/>
                <w:szCs w:val="28"/>
              </w:rPr>
              <w:lastRenderedPageBreak/>
              <w:t>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lastRenderedPageBreak/>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Pr>
          <w:sz w:val="28"/>
          <w:szCs w:val="28"/>
        </w:rPr>
        <w:t>А</w:t>
      </w:r>
      <w:r w:rsidRPr="00B60463">
        <w:rPr>
          <w:sz w:val="28"/>
          <w:szCs w:val="28"/>
        </w:rPr>
        <w:t>дминистративн</w:t>
      </w:r>
      <w:r>
        <w:rPr>
          <w:sz w:val="28"/>
          <w:szCs w:val="28"/>
        </w:rPr>
        <w:t>ыйштраф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8"/>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w:t>
      </w:r>
      <w:r w:rsidRPr="00254DB9">
        <w:rPr>
          <w:sz w:val="28"/>
          <w:szCs w:val="28"/>
        </w:rPr>
        <w:lastRenderedPageBreak/>
        <w:t xml:space="preserve">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w:t>
      </w:r>
      <w:r w:rsidRPr="0001459C">
        <w:rPr>
          <w:sz w:val="28"/>
        </w:rPr>
        <w:lastRenderedPageBreak/>
        <w:t xml:space="preserve">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контроля»по форме№1-контроль,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lastRenderedPageBreak/>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lastRenderedPageBreak/>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9"/>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3159"/>
        <w:gridCol w:w="3596"/>
        <w:gridCol w:w="3564"/>
        <w:gridCol w:w="4146"/>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 xml:space="preserve">В целях установления действительного волеизъявления собственников помещений в многоквартирном доме при </w:t>
            </w:r>
            <w:r w:rsidRPr="0071784A">
              <w:rPr>
                <w:rFonts w:eastAsia="Calibri"/>
                <w:sz w:val="20"/>
                <w:szCs w:val="20"/>
              </w:rPr>
              <w:lastRenderedPageBreak/>
              <w:t>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собранийбюллетени выдавались за волеизъявление собственников в </w:t>
            </w:r>
            <w:r w:rsidRPr="0071784A">
              <w:rPr>
                <w:rFonts w:eastAsia="Calibri"/>
                <w:sz w:val="20"/>
                <w:szCs w:val="20"/>
              </w:rPr>
              <w:lastRenderedPageBreak/>
              <w:t xml:space="preserve">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 xml:space="preserve">При поступлении в орган государственного жилищного надзора обращений и заявленийо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w:t>
            </w:r>
            <w:r w:rsidRPr="0071784A">
              <w:rPr>
                <w:rFonts w:eastAsia="Calibri"/>
                <w:sz w:val="20"/>
                <w:szCs w:val="20"/>
              </w:rPr>
              <w:lastRenderedPageBreak/>
              <w:t xml:space="preserve">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 xml:space="preserve">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w:t>
            </w:r>
            <w:r w:rsidRPr="0071784A">
              <w:rPr>
                <w:rFonts w:eastAsia="Calibri"/>
                <w:sz w:val="20"/>
                <w:szCs w:val="20"/>
              </w:rPr>
              <w:lastRenderedPageBreak/>
              <w:t>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lastRenderedPageBreak/>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 xml:space="preserve">«2.1. В решении собственника по вопросам, поставленным на голосование, должны быть </w:t>
            </w:r>
            <w:r w:rsidRPr="008A013A">
              <w:rPr>
                <w:i/>
                <w:sz w:val="20"/>
                <w:szCs w:val="20"/>
              </w:rPr>
              <w:lastRenderedPageBreak/>
              <w:t>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w:t>
            </w:r>
            <w:r w:rsidRPr="008A013A">
              <w:rPr>
                <w:rFonts w:eastAsia="Calibri"/>
                <w:sz w:val="20"/>
                <w:szCs w:val="20"/>
              </w:rPr>
              <w:lastRenderedPageBreak/>
              <w:t xml:space="preserve">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 xml:space="preserve">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w:t>
            </w:r>
            <w:r w:rsidRPr="008A013A">
              <w:rPr>
                <w:i/>
                <w:sz w:val="20"/>
                <w:szCs w:val="20"/>
              </w:rPr>
              <w:lastRenderedPageBreak/>
              <w:t>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 xml:space="preserve">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w:t>
            </w:r>
            <w:r w:rsidRPr="008A013A">
              <w:rPr>
                <w:i/>
                <w:sz w:val="20"/>
                <w:szCs w:val="20"/>
              </w:rPr>
              <w:lastRenderedPageBreak/>
              <w:t>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w:t>
            </w:r>
            <w:r w:rsidRPr="0071784A">
              <w:rPr>
                <w:rFonts w:eastAsia="Calibri"/>
                <w:sz w:val="20"/>
                <w:szCs w:val="20"/>
              </w:rPr>
              <w:lastRenderedPageBreak/>
              <w:t xml:space="preserve">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w:t>
            </w:r>
            <w:r w:rsidRPr="0071784A">
              <w:rPr>
                <w:rFonts w:eastAsia="Calibri"/>
                <w:sz w:val="20"/>
                <w:szCs w:val="20"/>
              </w:rPr>
              <w:lastRenderedPageBreak/>
              <w:t>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 xml:space="preserve">грамотности населения, необходимо установление специального (1 год), более длительного по сравнению с </w:t>
            </w:r>
            <w:r w:rsidRPr="007A57F1">
              <w:rPr>
                <w:rFonts w:ascii="Times New Roman" w:hAnsi="Times New Roman"/>
                <w:sz w:val="20"/>
                <w:szCs w:val="20"/>
              </w:rPr>
              <w:lastRenderedPageBreak/>
              <w:t>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 xml:space="preserve">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 xml:space="preserve">решения вопроса,поставщик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 xml:space="preserve">РФне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40"/>
      </w:r>
    </w:p>
    <w:p w:rsidR="00AB6EF6" w:rsidRDefault="00AB6EF6" w:rsidP="00A622E0">
      <w:pPr>
        <w:spacing w:line="360" w:lineRule="exact"/>
        <w:jc w:val="right"/>
        <w:rPr>
          <w:sz w:val="28"/>
          <w:szCs w:val="32"/>
        </w:rPr>
      </w:pPr>
    </w:p>
    <w:p w:rsidR="001C10FF" w:rsidRDefault="00AB6EF6" w:rsidP="00440E9D">
      <w:pPr>
        <w:spacing w:line="360" w:lineRule="exact"/>
        <w:ind w:firstLine="9498"/>
        <w:rPr>
          <w:sz w:val="28"/>
          <w:szCs w:val="32"/>
        </w:rPr>
      </w:pPr>
      <w:r w:rsidRPr="00AB6EF6">
        <w:rPr>
          <w:sz w:val="28"/>
          <w:szCs w:val="32"/>
        </w:rPr>
        <w:t>Приложение 1</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 64-п, Постановление губернатора Пермской области от 31.12.1997№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 457-п "О внесении изменений в Постановление Правительства Пермского края от 28.03.2008№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 336 "Об организации охотничьих заказников",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 182 "Об организации охотничье-производственных участков и охотничьих хозяйств",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 180 "Об охотничьих хозяйствах, охотничье-производственных участках и заказниках", Приказ Главного управления природопользования от 01.07.1997№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 184 "Об организации заказника "Вяткинский", решение облисполкома Пермской области от 28.07.1987№ 180 "Об охотничьих хозяйствах, охотничье-производственных участках и заказниках", Приказ Главного управления природопользования от 10.11.1997№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05.09.1997№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 190 "Об охотничьих хозяйствах", Приказ Главного управления природопользования от 08.07.1997№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23.04.1997№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 5 "Об организации государственного заказника "Уинский",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F6" w:rsidRDefault="00EB1EF6" w:rsidP="00404177">
      <w:r>
        <w:separator/>
      </w:r>
    </w:p>
  </w:endnote>
  <w:endnote w:type="continuationSeparator" w:id="1">
    <w:p w:rsidR="00EB1EF6" w:rsidRDefault="00EB1EF6"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732463">
    <w:pPr>
      <w:pStyle w:val="a5"/>
      <w:jc w:val="center"/>
    </w:pPr>
    <w:r>
      <w:fldChar w:fldCharType="begin"/>
    </w:r>
    <w:r w:rsidR="00E3503A">
      <w:instrText xml:space="preserve"> PAGE   \* MERGEFORMAT </w:instrText>
    </w:r>
    <w:r>
      <w:fldChar w:fldCharType="separate"/>
    </w:r>
    <w:r w:rsidR="003305DA">
      <w:rPr>
        <w:noProof/>
      </w:rPr>
      <w:t>94</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F6" w:rsidRDefault="00EB1EF6" w:rsidP="00404177">
      <w:r>
        <w:separator/>
      </w:r>
    </w:p>
  </w:footnote>
  <w:footnote w:type="continuationSeparator" w:id="1">
    <w:p w:rsidR="00EB1EF6" w:rsidRDefault="00EB1EF6" w:rsidP="00404177">
      <w:r>
        <w:continuationSeparator/>
      </w:r>
    </w:p>
  </w:footnote>
  <w:footnote w:id="2">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3">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4">
    <w:p w:rsidR="00E3503A" w:rsidRPr="00950ACC"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5">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6">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7">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8">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10">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1">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2">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3">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4">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6">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7">
    <w:p w:rsidR="00E3503A" w:rsidRPr="00367AF1" w:rsidRDefault="00E3503A" w:rsidP="00544BDA">
      <w:pPr>
        <w:pStyle w:val="af5"/>
        <w:jc w:val="both"/>
      </w:pPr>
      <w:r>
        <w:rPr>
          <w:rStyle w:val="af7"/>
        </w:rPr>
        <w:footnoteRef/>
      </w:r>
      <w:r>
        <w:t>ПоданнымПермьстата: Пермский край в цифрах 2016</w:t>
      </w:r>
    </w:p>
  </w:footnote>
  <w:footnote w:id="18">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20">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1">
    <w:p w:rsidR="00E3503A" w:rsidRDefault="00E3503A">
      <w:pPr>
        <w:pStyle w:val="af5"/>
      </w:pPr>
      <w:r>
        <w:rPr>
          <w:rStyle w:val="af7"/>
        </w:rPr>
        <w:footnoteRef/>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2">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3">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4">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5">
    <w:p w:rsidR="00E3503A" w:rsidRPr="00F60402" w:rsidRDefault="00E3503A" w:rsidP="00405BA3">
      <w:pPr>
        <w:pStyle w:val="af5"/>
        <w:jc w:val="both"/>
      </w:pPr>
      <w:r>
        <w:rPr>
          <w:rStyle w:val="af7"/>
        </w:rPr>
        <w:footnoteRef/>
      </w:r>
      <w:r w:rsidRPr="00F60402">
        <w:rPr>
          <w:lang w:val="en-US"/>
        </w:rPr>
        <w:t> </w:t>
      </w:r>
      <w:r>
        <w:t>ПоданнымПермьстат</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6">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Вн СЭД-03-03-01-03-10 от 03.02.2016 </w:t>
      </w:r>
      <w:r>
        <w:t>«</w:t>
      </w:r>
      <w:r w:rsidRPr="00911BF9">
        <w:t>О направлении докладов по контрольно-надзорной деятельности</w:t>
      </w:r>
      <w:r>
        <w:t>»)</w:t>
      </w:r>
    </w:p>
  </w:footnote>
  <w:footnote w:id="27">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8">
    <w:p w:rsidR="00E3503A" w:rsidRDefault="00E3503A" w:rsidP="00696601">
      <w:pPr>
        <w:pStyle w:val="af5"/>
        <w:jc w:val="both"/>
      </w:pPr>
      <w:r>
        <w:rPr>
          <w:rStyle w:val="af7"/>
        </w:rPr>
        <w:footnoteRef/>
      </w:r>
      <w:r w:rsidRPr="00696601">
        <w:t>По данным Министерства промышленности, предпринимательства и торговли Пермского края(№ СЭД-03-03-01-03-10 от 03.02.2016 «О направлении докладов по контрольно-надзорной деятельности»)</w:t>
      </w:r>
    </w:p>
  </w:footnote>
  <w:footnote w:id="29">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30">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1">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rsidP="00777AC9">
      <w:pPr>
        <w:pStyle w:val="af5"/>
        <w:jc w:val="both"/>
      </w:pPr>
      <w:r>
        <w:rPr>
          <w:rStyle w:val="af7"/>
        </w:rPr>
        <w:footnoteRef/>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3">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4">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5">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6">
    <w:p w:rsidR="00E3503A" w:rsidRDefault="00E3503A" w:rsidP="006B1DF1">
      <w:pPr>
        <w:pStyle w:val="af5"/>
      </w:pPr>
      <w:r>
        <w:rPr>
          <w:rStyle w:val="af7"/>
        </w:rPr>
        <w:footnoteRef/>
      </w:r>
      <w:r>
        <w:t xml:space="preserve"> Рис. 1-6 по данным https://gasu-office.roskazna.ru/web/guest/ism</w:t>
      </w:r>
    </w:p>
  </w:footnote>
  <w:footnote w:id="37">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rsidRPr="00367AF1">
        <w:t>https://gasu-office.</w:t>
      </w:r>
      <w:r>
        <w:t>roskazna</w:t>
      </w:r>
      <w:r w:rsidRPr="00367AF1">
        <w:t>.ru/web/guest/ism</w:t>
      </w:r>
    </w:p>
    <w:p w:rsidR="00E3503A" w:rsidRDefault="00E3503A" w:rsidP="005247EB">
      <w:pPr>
        <w:pStyle w:val="af5"/>
      </w:pPr>
    </w:p>
  </w:footnote>
  <w:footnote w:id="38">
    <w:p w:rsidR="00E3503A" w:rsidRDefault="00E3503A">
      <w:pPr>
        <w:pStyle w:val="af5"/>
      </w:pPr>
      <w:r>
        <w:rPr>
          <w:rStyle w:val="af7"/>
        </w:rPr>
        <w:footnoteRef/>
      </w:r>
      <w:r>
        <w:t xml:space="preserve"> С учетом предложений, предоставленных ИОГВ Пермского края</w:t>
      </w:r>
    </w:p>
  </w:footnote>
  <w:footnote w:id="39">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40">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A3024"/>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5DA"/>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27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289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2463"/>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45232"/>
    <w:rsid w:val="00E61653"/>
    <w:rsid w:val="00E64816"/>
    <w:rsid w:val="00E7049B"/>
    <w:rsid w:val="00E71BD8"/>
    <w:rsid w:val="00E72122"/>
    <w:rsid w:val="00E74308"/>
    <w:rsid w:val="00E823FF"/>
    <w:rsid w:val="00E84F22"/>
    <w:rsid w:val="00E85B3E"/>
    <w:rsid w:val="00E86EDF"/>
    <w:rsid w:val="00E87E62"/>
    <w:rsid w:val="00E97D66"/>
    <w:rsid w:val="00EA13D6"/>
    <w:rsid w:val="00EA3B06"/>
    <w:rsid w:val="00EA6E28"/>
    <w:rsid w:val="00EA7817"/>
    <w:rsid w:val="00EB1EF6"/>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0.42800000000000027</c:v>
                </c:pt>
                <c:pt idx="1">
                  <c:v>0.57199999999999995</c:v>
                </c:pt>
              </c:numCache>
            </c:numRef>
          </c:val>
        </c:ser>
        <c:firstSliceAng val="0"/>
      </c:pieChart>
    </c:plotArea>
    <c:legend>
      <c:legendPos val="r"/>
      <c:layout>
        <c:manualLayout>
          <c:xMode val="edge"/>
          <c:yMode val="edge"/>
          <c:x val="0.58117228888824257"/>
          <c:y val="0.22864763779527572"/>
          <c:w val="0.40493883836476191"/>
          <c:h val="0.42187139107611571"/>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0.9550000000000004</c:v>
                </c:pt>
                <c:pt idx="1">
                  <c:v>4.5000000000000012E-2</c:v>
                </c:pt>
              </c:numCache>
            </c:numRef>
          </c:val>
        </c:ser>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axId val="147763584"/>
        <c:axId val="147765120"/>
      </c:barChart>
      <c:catAx>
        <c:axId val="147763584"/>
        <c:scaling>
          <c:orientation val="minMax"/>
        </c:scaling>
        <c:axPos val="b"/>
        <c:tickLblPos val="nextTo"/>
        <c:txPr>
          <a:bodyPr/>
          <a:lstStyle/>
          <a:p>
            <a:pPr>
              <a:defRPr sz="1400"/>
            </a:pPr>
            <a:endParaRPr lang="ru-RU"/>
          </a:p>
        </c:txPr>
        <c:crossAx val="147765120"/>
        <c:crosses val="autoZero"/>
        <c:auto val="1"/>
        <c:lblAlgn val="ctr"/>
        <c:lblOffset val="100"/>
      </c:catAx>
      <c:valAx>
        <c:axId val="147765120"/>
        <c:scaling>
          <c:orientation val="minMax"/>
        </c:scaling>
        <c:axPos val="l"/>
        <c:majorGridlines/>
        <c:numFmt formatCode="#,##0" sourceLinked="1"/>
        <c:tickLblPos val="nextTo"/>
        <c:crossAx val="147763584"/>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dLbls>
            <c:showVal val="1"/>
          </c:dLbls>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141333632"/>
        <c:axId val="141335168"/>
      </c:barChart>
      <c:catAx>
        <c:axId val="141333632"/>
        <c:scaling>
          <c:orientation val="minMax"/>
        </c:scaling>
        <c:axPos val="l"/>
        <c:majorTickMark val="none"/>
        <c:tickLblPos val="nextTo"/>
        <c:crossAx val="141335168"/>
        <c:crosses val="autoZero"/>
        <c:auto val="1"/>
        <c:lblAlgn val="ctr"/>
        <c:lblOffset val="100"/>
      </c:catAx>
      <c:valAx>
        <c:axId val="141335168"/>
        <c:scaling>
          <c:orientation val="minMax"/>
        </c:scaling>
        <c:delete val="1"/>
        <c:axPos val="b"/>
        <c:numFmt formatCode="General" sourceLinked="1"/>
        <c:majorTickMark val="none"/>
        <c:tickLblPos val="nextTo"/>
        <c:crossAx val="141333632"/>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105773154960488E-2"/>
          <c:y val="8.6356819711651364E-2"/>
          <c:w val="0.58600813985270317"/>
          <c:h val="0.81668331220028956"/>
        </c:manualLayout>
      </c:layout>
      <c:pieChart>
        <c:varyColors val="1"/>
        <c:ser>
          <c:idx val="0"/>
          <c:order val="0"/>
          <c:dLbls>
            <c:dLbl>
              <c:idx val="0"/>
              <c:layout>
                <c:manualLayout>
                  <c:x val="0.14333359542610671"/>
                  <c:y val="0.10643519460663844"/>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66"/>
                  <c:y val="-0.31583830351226022"/>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41"/>
                  <c:y val="0.32468287388529776"/>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31"/>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firstSliceAng val="0"/>
      </c:pieChart>
    </c:plotArea>
    <c:legend>
      <c:legendPos val="r"/>
      <c:layout>
        <c:manualLayout>
          <c:xMode val="edge"/>
          <c:yMode val="edge"/>
          <c:x val="0.57821485982072307"/>
          <c:y val="7.3711198463001379E-2"/>
          <c:w val="0.40982698961937764"/>
          <c:h val="0.85257760307399777"/>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6E61-1ED5-4E95-A317-1AA5B4FF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43615</Words>
  <Characters>248607</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291639</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2016-08-05T10:08:00Z</dcterms:created>
  <dcterms:modified xsi:type="dcterms:W3CDTF">2016-08-05T10:08:00Z</dcterms:modified>
</cp:coreProperties>
</file>