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744EC">
        <w:rPr>
          <w:sz w:val="24"/>
          <w:szCs w:val="24"/>
        </w:rPr>
        <w:t xml:space="preserve">от </w:t>
      </w:r>
      <w:r w:rsidR="00D45B38" w:rsidRPr="00D45B38">
        <w:rPr>
          <w:sz w:val="24"/>
          <w:szCs w:val="24"/>
        </w:rPr>
        <w:t>23.03</w:t>
      </w:r>
      <w:r w:rsidR="00C744EC" w:rsidRPr="00D45B38">
        <w:rPr>
          <w:sz w:val="24"/>
          <w:szCs w:val="24"/>
        </w:rPr>
        <w:t>.2022</w:t>
      </w:r>
      <w:r w:rsidR="000E5E61" w:rsidRPr="00D45B38">
        <w:rPr>
          <w:sz w:val="24"/>
          <w:szCs w:val="24"/>
        </w:rPr>
        <w:t xml:space="preserve"> № 18-01-05-</w:t>
      </w:r>
      <w:r w:rsidR="00D45B38" w:rsidRPr="00D45B38">
        <w:rPr>
          <w:sz w:val="24"/>
          <w:szCs w:val="24"/>
        </w:rPr>
        <w:t>300</w:t>
      </w:r>
      <w:r w:rsidR="000E5E61" w:rsidRPr="00D45B38">
        <w:rPr>
          <w:sz w:val="24"/>
          <w:szCs w:val="24"/>
        </w:rPr>
        <w:t>п</w:t>
      </w:r>
      <w:r w:rsidR="000E5E61" w:rsidRPr="00C744EC">
        <w:rPr>
          <w:sz w:val="24"/>
          <w:szCs w:val="24"/>
        </w:rPr>
        <w:t xml:space="preserve">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</w:t>
      </w:r>
      <w:bookmarkStart w:id="0" w:name="_GoBack"/>
      <w:bookmarkEnd w:id="0"/>
      <w:r w:rsidRPr="006A56EF">
        <w:rPr>
          <w:sz w:val="24"/>
          <w:szCs w:val="24"/>
        </w:rPr>
        <w:t>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D30894">
              <w:rPr>
                <w:sz w:val="22"/>
                <w:szCs w:val="22"/>
              </w:rPr>
              <w:t>лит</w:t>
            </w:r>
            <w:proofErr w:type="gramStart"/>
            <w:r w:rsidRPr="00D30894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>), на 1 этаж 4-этажного кирпичного дома</w:t>
            </w:r>
            <w:r w:rsidRPr="00D30894">
              <w:rPr>
                <w:color w:val="000000"/>
                <w:sz w:val="22"/>
                <w:szCs w:val="22"/>
              </w:rPr>
              <w:t xml:space="preserve">, </w:t>
            </w:r>
            <w:r w:rsidRPr="00D30894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8 000 000,0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400 000,0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1 600 000,0</w:t>
            </w:r>
          </w:p>
        </w:tc>
        <w:tc>
          <w:tcPr>
            <w:tcW w:w="2409" w:type="dxa"/>
            <w:vAlign w:val="center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Аукцион-24.01.17г.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Аукцион-21.04.17г.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Аукцион-09.06.17г.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-28.07.17г.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Аукцион-22.09.17г.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Аукцион- 24.11.17г.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Аукцион-19.01.18г.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Аукцион-20.04.18г.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Аукцион-08.06.18г.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Аукцион-14.09.18г. 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Аукцион-16.11.18г.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- 13.05.19г.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- 05.07.19г.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- 16.08.19г.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- 11.10.19г.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ППП - 29.11.19г. 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4.01.20г.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- 06.03.20г.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ППП – 29.04.20г. 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11.06.20г.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24.07.20г.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- 04.09.20г.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16.10.20г.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04.12.20г.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30.12.20г.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12.03.21г.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23.04.21г.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04.06.21г.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30.07.21г.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- 10.09.21г.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30894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., кадастровый номер: 59:37:0620301:35, адрес объекта: г. Усолье, ул. Радищева, д. 12 (объект обременен договором аренды </w:t>
            </w:r>
            <w:r w:rsidR="0019319E">
              <w:rPr>
                <w:sz w:val="22"/>
                <w:szCs w:val="22"/>
              </w:rPr>
              <w:t>до</w:t>
            </w:r>
            <w:r w:rsidRPr="00D30894">
              <w:rPr>
                <w:sz w:val="22"/>
                <w:szCs w:val="22"/>
              </w:rPr>
              <w:t xml:space="preserve"> 31.08.26г.)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8 700 000,0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435 000,0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1 740 000,0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- 10.09.21г.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1828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D30894">
              <w:rPr>
                <w:bCs/>
                <w:sz w:val="22"/>
                <w:szCs w:val="22"/>
              </w:rPr>
              <w:t>173</w:t>
            </w:r>
            <w:r w:rsidRPr="00D30894">
              <w:rPr>
                <w:sz w:val="22"/>
                <w:szCs w:val="22"/>
              </w:rPr>
              <w:t xml:space="preserve">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</w:t>
            </w:r>
            <w:r w:rsidR="0019319E">
              <w:rPr>
                <w:sz w:val="22"/>
                <w:szCs w:val="22"/>
              </w:rPr>
              <w:t xml:space="preserve">объект </w:t>
            </w:r>
            <w:r w:rsidRPr="00D30894">
              <w:rPr>
                <w:sz w:val="22"/>
                <w:szCs w:val="22"/>
              </w:rPr>
              <w:t xml:space="preserve">обременен договором аренды </w:t>
            </w:r>
            <w:r w:rsidR="0019319E">
              <w:rPr>
                <w:sz w:val="22"/>
                <w:szCs w:val="22"/>
              </w:rPr>
              <w:t>до 02.09.2024г.</w:t>
            </w:r>
            <w:r w:rsidRPr="00D308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90 000,0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10.09.21г.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D30894">
              <w:rPr>
                <w:sz w:val="22"/>
                <w:szCs w:val="22"/>
              </w:rPr>
              <w:t>хоз.корпуса</w:t>
            </w:r>
            <w:proofErr w:type="spellEnd"/>
            <w:r w:rsidRPr="00D30894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D30894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D30894">
              <w:rPr>
                <w:bCs/>
                <w:sz w:val="22"/>
                <w:szCs w:val="22"/>
              </w:rPr>
              <w:t>кв</w:t>
            </w:r>
            <w:proofErr w:type="gramStart"/>
            <w:r w:rsidRPr="00D30894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D30894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D30894">
              <w:rPr>
                <w:sz w:val="22"/>
                <w:szCs w:val="22"/>
              </w:rPr>
              <w:t>г. Березники, ул. Свердлова, д.108а</w:t>
            </w:r>
            <w:r w:rsidRPr="00D30894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18 000 000,0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3 600 000,0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117, г-ж 46</w:t>
            </w:r>
            <w:r w:rsidR="00742848">
              <w:rPr>
                <w:sz w:val="22"/>
                <w:szCs w:val="22"/>
              </w:rPr>
              <w:t xml:space="preserve"> 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20.02.2027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117, г-ж 47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24.02.2027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№117, г-ж 10</w:t>
            </w:r>
            <w:r w:rsidR="00742848">
              <w:rPr>
                <w:sz w:val="22"/>
                <w:szCs w:val="22"/>
              </w:rPr>
              <w:t xml:space="preserve"> 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14.03.2027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</w:t>
            </w:r>
            <w:proofErr w:type="gramStart"/>
            <w:r w:rsidRPr="00D30894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250 000,0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12 500,0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</w:t>
            </w:r>
            <w:r w:rsidRPr="00D30894">
              <w:rPr>
                <w:rFonts w:eastAsia="TimesNewRomanPSMT"/>
                <w:sz w:val="22"/>
                <w:szCs w:val="22"/>
              </w:rPr>
              <w:t>59:37:0620203:509</w:t>
            </w:r>
            <w:r w:rsidRPr="00D30894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60 000,0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 (объект обременен договором аренды по 30.09.2026г.)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480 000,0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 1, общая площадь 33,8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59:03:0400076:4092, адрес объекта: г. Березники, ул. Мира, д. 79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28.10.2023г.)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1 000 000,0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200 000,0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128,8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этаж подвал №-, кадастровый номер: 59:03:0400097:1593, адрес объекта: г. Березники, ул. Пятилетки, д. 48 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3 600 000,0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720 000,0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59:03:0400098:253, адрес объекта: г. Березники, ул. Пятилетки, д. 56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03.04.2022г.)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1 100 000,0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220 000,0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59:03:0400098:289, адрес объекта: г. Березники, ул. Пятилетки, д. 56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03.04.2022г.)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1 700 000,0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этаж №1, кадастровый номер: 59:03:0400076:4101, адрес объекта: г. Березники, ул. Юбилейная, д. 117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01.02.2024г.)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4 200 000,0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210 000,0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Пожарное депо, назначение: нежилое, общая площадь 181,9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59:37:0510105:417; земельный участок общей площадью 493+/-7,76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59:37:0510105:338, адрес объекта: с. </w:t>
            </w:r>
            <w:proofErr w:type="spellStart"/>
            <w:r w:rsidRPr="00D30894">
              <w:rPr>
                <w:sz w:val="22"/>
                <w:szCs w:val="22"/>
              </w:rPr>
              <w:t>Пыскор</w:t>
            </w:r>
            <w:proofErr w:type="spellEnd"/>
            <w:r w:rsidRPr="00D30894">
              <w:rPr>
                <w:sz w:val="22"/>
                <w:szCs w:val="22"/>
              </w:rPr>
              <w:t>, ул. Мира, д. 8</w:t>
            </w:r>
            <w:r w:rsidR="0019319E">
              <w:rPr>
                <w:sz w:val="22"/>
                <w:szCs w:val="22"/>
              </w:rPr>
              <w:t xml:space="preserve"> </w:t>
            </w:r>
            <w:r w:rsidR="0019319E" w:rsidRPr="00D30894">
              <w:rPr>
                <w:sz w:val="22"/>
                <w:szCs w:val="22"/>
              </w:rPr>
              <w:t xml:space="preserve">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="0019319E" w:rsidRPr="00D30894">
              <w:rPr>
                <w:sz w:val="22"/>
                <w:szCs w:val="22"/>
              </w:rPr>
              <w:t xml:space="preserve">о </w:t>
            </w:r>
            <w:r w:rsidR="0019319E">
              <w:rPr>
                <w:sz w:val="22"/>
                <w:szCs w:val="22"/>
              </w:rPr>
              <w:t>21.03</w:t>
            </w:r>
            <w:r w:rsidR="0019319E" w:rsidRPr="00D30894">
              <w:rPr>
                <w:sz w:val="22"/>
                <w:szCs w:val="22"/>
              </w:rPr>
              <w:t>.202</w:t>
            </w:r>
            <w:r w:rsidR="0019319E">
              <w:rPr>
                <w:sz w:val="22"/>
                <w:szCs w:val="22"/>
              </w:rPr>
              <w:t>5</w:t>
            </w:r>
            <w:r w:rsidR="0019319E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D30894">
        <w:rPr>
          <w:rFonts w:eastAsia="Courier New"/>
          <w:sz w:val="24"/>
          <w:szCs w:val="24"/>
          <w:lang w:bidi="ru-RU"/>
        </w:rPr>
        <w:t>28.03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D30894">
        <w:rPr>
          <w:rFonts w:eastAsia="Courier New"/>
          <w:sz w:val="24"/>
          <w:szCs w:val="24"/>
          <w:lang w:bidi="ru-RU"/>
        </w:rPr>
        <w:t>22</w:t>
      </w:r>
      <w:r w:rsidR="001C79CD">
        <w:rPr>
          <w:rFonts w:eastAsia="Courier New"/>
          <w:sz w:val="24"/>
          <w:szCs w:val="24"/>
          <w:lang w:bidi="ru-RU"/>
        </w:rPr>
        <w:t>.0</w:t>
      </w:r>
      <w:r w:rsidR="00D30894">
        <w:rPr>
          <w:rFonts w:eastAsia="Courier New"/>
          <w:sz w:val="24"/>
          <w:szCs w:val="24"/>
          <w:lang w:bidi="ru-RU"/>
        </w:rPr>
        <w:t>4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30894">
        <w:rPr>
          <w:rFonts w:eastAsia="Courier New"/>
          <w:sz w:val="24"/>
          <w:szCs w:val="24"/>
          <w:lang w:bidi="ru-RU"/>
        </w:rPr>
        <w:t>27</w:t>
      </w:r>
      <w:r w:rsidR="001C79CD">
        <w:rPr>
          <w:rFonts w:eastAsia="Courier New"/>
          <w:sz w:val="24"/>
          <w:szCs w:val="24"/>
          <w:lang w:bidi="ru-RU"/>
        </w:rPr>
        <w:t>.0</w:t>
      </w:r>
      <w:r w:rsidR="00D30894">
        <w:rPr>
          <w:rFonts w:eastAsia="Courier New"/>
          <w:sz w:val="24"/>
          <w:szCs w:val="24"/>
          <w:lang w:bidi="ru-RU"/>
        </w:rPr>
        <w:t>4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30894">
        <w:rPr>
          <w:rFonts w:eastAsia="Courier New"/>
          <w:sz w:val="24"/>
          <w:szCs w:val="24"/>
          <w:lang w:bidi="ru-RU"/>
        </w:rPr>
        <w:t>29.04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30894">
        <w:rPr>
          <w:rFonts w:eastAsiaTheme="majorEastAsia"/>
          <w:bCs/>
          <w:sz w:val="24"/>
          <w:szCs w:val="24"/>
          <w:lang w:bidi="ru-RU"/>
        </w:rPr>
        <w:t>28.03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30894">
        <w:rPr>
          <w:rFonts w:eastAsiaTheme="majorEastAsia"/>
          <w:bCs/>
          <w:sz w:val="24"/>
          <w:szCs w:val="24"/>
          <w:lang w:bidi="ru-RU"/>
        </w:rPr>
        <w:t>22.04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30894">
        <w:rPr>
          <w:b/>
          <w:sz w:val="24"/>
          <w:szCs w:val="24"/>
        </w:rPr>
        <w:t>29.04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30894">
        <w:rPr>
          <w:rFonts w:eastAsiaTheme="majorEastAsia"/>
          <w:b/>
          <w:bCs/>
          <w:sz w:val="24"/>
          <w:szCs w:val="24"/>
          <w:lang w:bidi="ru-RU"/>
        </w:rPr>
        <w:t>28.03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30894">
        <w:rPr>
          <w:rFonts w:eastAsiaTheme="majorEastAsia"/>
          <w:b/>
          <w:bCs/>
          <w:sz w:val="24"/>
          <w:szCs w:val="24"/>
          <w:lang w:bidi="ru-RU"/>
        </w:rPr>
        <w:t>22.04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D30894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F5" w:rsidRDefault="00A250F5">
      <w:r>
        <w:separator/>
      </w:r>
    </w:p>
  </w:endnote>
  <w:endnote w:type="continuationSeparator" w:id="0">
    <w:p w:rsidR="00A250F5" w:rsidRDefault="00A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5B38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F5" w:rsidRDefault="00A250F5">
      <w:r>
        <w:separator/>
      </w:r>
    </w:p>
  </w:footnote>
  <w:footnote w:type="continuationSeparator" w:id="0">
    <w:p w:rsidR="00A250F5" w:rsidRDefault="00A2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EC97-73E0-4AB6-B1B5-81D82EC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10</cp:revision>
  <cp:lastPrinted>2022-02-10T07:50:00Z</cp:lastPrinted>
  <dcterms:created xsi:type="dcterms:W3CDTF">2022-02-10T06:50:00Z</dcterms:created>
  <dcterms:modified xsi:type="dcterms:W3CDTF">2022-03-23T09:57:00Z</dcterms:modified>
</cp:coreProperties>
</file>