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2662B5" w:rsidRDefault="00DF2F09" w:rsidP="002662B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B5">
        <w:rPr>
          <w:rFonts w:ascii="Times New Roman" w:hAnsi="Times New Roman" w:cs="Times New Roman"/>
          <w:b/>
          <w:sz w:val="28"/>
          <w:szCs w:val="28"/>
        </w:rPr>
        <w:t>Дайджест мероприятий от центра поддержки предпр</w:t>
      </w:r>
      <w:r w:rsidR="00B93046" w:rsidRPr="002662B5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2662B5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2D6218" w:rsidRPr="002662B5">
        <w:rPr>
          <w:rFonts w:ascii="Times New Roman" w:hAnsi="Times New Roman" w:cs="Times New Roman"/>
          <w:b/>
          <w:sz w:val="28"/>
          <w:szCs w:val="28"/>
        </w:rPr>
        <w:t>14февраля – 1</w:t>
      </w:r>
      <w:r w:rsidR="00C46DD8" w:rsidRPr="002662B5">
        <w:rPr>
          <w:rFonts w:ascii="Times New Roman" w:hAnsi="Times New Roman" w:cs="Times New Roman"/>
          <w:b/>
          <w:sz w:val="28"/>
          <w:szCs w:val="28"/>
        </w:rPr>
        <w:t>8</w:t>
      </w:r>
      <w:r w:rsidR="00C35185" w:rsidRPr="002662B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614D0E" w:rsidRPr="002662B5">
        <w:rPr>
          <w:rFonts w:ascii="Times New Roman" w:hAnsi="Times New Roman" w:cs="Times New Roman"/>
          <w:b/>
          <w:sz w:val="28"/>
          <w:szCs w:val="28"/>
        </w:rPr>
        <w:t>202</w:t>
      </w:r>
      <w:r w:rsidR="00C35185" w:rsidRPr="002662B5">
        <w:rPr>
          <w:rFonts w:ascii="Times New Roman" w:hAnsi="Times New Roman" w:cs="Times New Roman"/>
          <w:b/>
          <w:sz w:val="28"/>
          <w:szCs w:val="28"/>
        </w:rPr>
        <w:t>2</w:t>
      </w:r>
      <w:r w:rsidR="00265763" w:rsidRPr="002662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36413" w:rsidRPr="002662B5" w:rsidRDefault="00436413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B1" w:rsidRDefault="003D2035" w:rsidP="002662B5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B5">
        <w:rPr>
          <w:rFonts w:ascii="Times New Roman" w:hAnsi="Times New Roman" w:cs="Times New Roman"/>
          <w:b/>
          <w:sz w:val="28"/>
          <w:szCs w:val="28"/>
        </w:rPr>
        <w:t>Вебинар</w:t>
      </w:r>
      <w:r w:rsidR="0026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3DC" w:rsidRPr="002662B5">
        <w:rPr>
          <w:rFonts w:ascii="Times New Roman" w:hAnsi="Times New Roman" w:cs="Times New Roman"/>
          <w:b/>
          <w:sz w:val="28"/>
          <w:szCs w:val="28"/>
        </w:rPr>
        <w:t>«</w:t>
      </w:r>
      <w:r w:rsidRPr="002662B5">
        <w:rPr>
          <w:rFonts w:ascii="Times New Roman" w:hAnsi="Times New Roman" w:cs="Times New Roman"/>
          <w:b/>
          <w:sz w:val="28"/>
          <w:szCs w:val="28"/>
        </w:rPr>
        <w:t>Федеральные стандарты бухгалтерского учета. ФСБУ 25/2018 «Бухгалтерский учет аренды»</w:t>
      </w:r>
    </w:p>
    <w:p w:rsidR="002662B5" w:rsidRPr="002662B5" w:rsidRDefault="002662B5" w:rsidP="002662B5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35" w:rsidRPr="002662B5" w:rsidRDefault="003D2035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В период с 15 по 28 февраля 2022 года состоится цикл вебинаров на тему «Федеральные стандарты бухгалтерского учета».</w:t>
      </w:r>
    </w:p>
    <w:p w:rsidR="003D2035" w:rsidRPr="002662B5" w:rsidRDefault="003D2035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Начиная с бухгалтерской (финансовой) отчетности за 2022 год необходимо применять;</w:t>
      </w:r>
    </w:p>
    <w:p w:rsidR="003D2035" w:rsidRPr="002662B5" w:rsidRDefault="003D2035" w:rsidP="002662B5">
      <w:pPr>
        <w:pStyle w:val="a5"/>
        <w:numPr>
          <w:ilvl w:val="0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ФСБУ 25/20</w:t>
      </w:r>
      <w:r w:rsidR="002662B5">
        <w:rPr>
          <w:rFonts w:ascii="Times New Roman" w:hAnsi="Times New Roman" w:cs="Times New Roman"/>
          <w:sz w:val="28"/>
          <w:szCs w:val="28"/>
        </w:rPr>
        <w:t>18 «Бухгалтерский учет аренды»;</w:t>
      </w:r>
    </w:p>
    <w:p w:rsidR="003D2035" w:rsidRPr="002662B5" w:rsidRDefault="002662B5" w:rsidP="002662B5">
      <w:pPr>
        <w:pStyle w:val="a5"/>
        <w:numPr>
          <w:ilvl w:val="0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ФСБУ 6/2020 «Основные средства»;</w:t>
      </w:r>
    </w:p>
    <w:p w:rsidR="003D2035" w:rsidRPr="002662B5" w:rsidRDefault="003D2035" w:rsidP="002662B5">
      <w:pPr>
        <w:pStyle w:val="a5"/>
        <w:numPr>
          <w:ilvl w:val="0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 xml:space="preserve">ФСБУ 27/2021 «Документы и документооборот в бухгалтерском учете». </w:t>
      </w:r>
    </w:p>
    <w:p w:rsidR="003D2035" w:rsidRPr="002662B5" w:rsidRDefault="003D2035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15 февраля приглашаем принять участие в первом вебинаре на тему ФСБУ 25/2018 «Бухгалтерский учет аренды».</w:t>
      </w:r>
    </w:p>
    <w:p w:rsidR="00DE3992" w:rsidRPr="002662B5" w:rsidRDefault="002F6B37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D2035" w:rsidRPr="002662B5">
        <w:rPr>
          <w:rFonts w:ascii="Times New Roman" w:hAnsi="Times New Roman" w:cs="Times New Roman"/>
          <w:sz w:val="28"/>
          <w:szCs w:val="28"/>
        </w:rPr>
        <w:t>15 февраля</w:t>
      </w:r>
      <w:r w:rsidRPr="002662B5">
        <w:rPr>
          <w:rFonts w:ascii="Times New Roman" w:hAnsi="Times New Roman" w:cs="Times New Roman"/>
          <w:sz w:val="28"/>
          <w:szCs w:val="28"/>
        </w:rPr>
        <w:t xml:space="preserve"> 20</w:t>
      </w:r>
      <w:r w:rsidR="003D2035" w:rsidRPr="002662B5">
        <w:rPr>
          <w:rFonts w:ascii="Times New Roman" w:hAnsi="Times New Roman" w:cs="Times New Roman"/>
          <w:sz w:val="28"/>
          <w:szCs w:val="28"/>
        </w:rPr>
        <w:t>22 года</w:t>
      </w:r>
      <w:r w:rsidR="00DE3992" w:rsidRPr="002662B5">
        <w:rPr>
          <w:rFonts w:ascii="Times New Roman" w:hAnsi="Times New Roman" w:cs="Times New Roman"/>
          <w:sz w:val="28"/>
          <w:szCs w:val="28"/>
        </w:rPr>
        <w:t>. Начало в 1</w:t>
      </w:r>
      <w:r w:rsidR="003D2035" w:rsidRPr="002662B5">
        <w:rPr>
          <w:rFonts w:ascii="Times New Roman" w:hAnsi="Times New Roman" w:cs="Times New Roman"/>
          <w:sz w:val="28"/>
          <w:szCs w:val="28"/>
        </w:rPr>
        <w:t>0</w:t>
      </w:r>
      <w:r w:rsidR="00DE3992" w:rsidRPr="002662B5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Регистрация по ссылке </w:t>
      </w:r>
      <w:hyperlink r:id="rId7" w:history="1">
        <w:r w:rsidR="003D2035" w:rsidRPr="002662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https://msppk.ru/events/federalnye-standarty-bukhgalterskogo-ucheta-fsbu-25-2018-bukhgalterskiy-uchet-arendy/</w:t>
        </w:r>
      </w:hyperlink>
    </w:p>
    <w:p w:rsidR="00DE3992" w:rsidRPr="002662B5" w:rsidRDefault="00DE3992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35" w:rsidRDefault="003D2035" w:rsidP="002662B5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B5">
        <w:rPr>
          <w:rFonts w:ascii="Times New Roman" w:hAnsi="Times New Roman" w:cs="Times New Roman"/>
          <w:b/>
          <w:sz w:val="28"/>
          <w:szCs w:val="28"/>
        </w:rPr>
        <w:t>Консультация по возможности включения субъектов МСП в Реестр социальных предприятий</w:t>
      </w:r>
    </w:p>
    <w:p w:rsidR="002662B5" w:rsidRPr="002662B5" w:rsidRDefault="002662B5" w:rsidP="002662B5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2035" w:rsidRPr="002662B5" w:rsidRDefault="003D2035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Агентство по развитию малого и среднего предпринимательства Пермского края объявляет о проведении информационной кампании по вопросам возможности включения субъектов малого и среднего предпринимательства (субъектов МСП) в перечень субъектов МСП, имеющих статус социального предприятия, а также о мерах поддержки социальных предприятий региона.</w:t>
      </w:r>
    </w:p>
    <w:p w:rsidR="001A6322" w:rsidRPr="002662B5" w:rsidRDefault="005020B1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D2035" w:rsidRPr="002662B5">
        <w:rPr>
          <w:rFonts w:ascii="Times New Roman" w:hAnsi="Times New Roman" w:cs="Times New Roman"/>
          <w:sz w:val="28"/>
          <w:szCs w:val="28"/>
        </w:rPr>
        <w:t>15</w:t>
      </w:r>
      <w:r w:rsidR="0042261C" w:rsidRPr="002662B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2662B5">
        <w:rPr>
          <w:rFonts w:ascii="Times New Roman" w:hAnsi="Times New Roman" w:cs="Times New Roman"/>
          <w:sz w:val="28"/>
          <w:szCs w:val="28"/>
        </w:rPr>
        <w:t xml:space="preserve"> 202</w:t>
      </w:r>
      <w:r w:rsidR="0042261C" w:rsidRPr="002662B5">
        <w:rPr>
          <w:rFonts w:ascii="Times New Roman" w:hAnsi="Times New Roman" w:cs="Times New Roman"/>
          <w:sz w:val="28"/>
          <w:szCs w:val="28"/>
        </w:rPr>
        <w:t>2</w:t>
      </w:r>
      <w:r w:rsidRPr="002662B5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1A6322" w:rsidRPr="002662B5">
        <w:rPr>
          <w:rFonts w:ascii="Times New Roman" w:hAnsi="Times New Roman" w:cs="Times New Roman"/>
          <w:sz w:val="28"/>
          <w:szCs w:val="28"/>
        </w:rPr>
        <w:t>Начало в 1</w:t>
      </w:r>
      <w:r w:rsidR="003D2035" w:rsidRPr="002662B5">
        <w:rPr>
          <w:rFonts w:ascii="Times New Roman" w:hAnsi="Times New Roman" w:cs="Times New Roman"/>
          <w:sz w:val="28"/>
          <w:szCs w:val="28"/>
        </w:rPr>
        <w:t>1</w:t>
      </w:r>
      <w:r w:rsidR="001A6322" w:rsidRPr="002662B5">
        <w:rPr>
          <w:rFonts w:ascii="Times New Roman" w:hAnsi="Times New Roman" w:cs="Times New Roman"/>
          <w:sz w:val="28"/>
          <w:szCs w:val="28"/>
        </w:rPr>
        <w:t xml:space="preserve">.00. </w:t>
      </w:r>
      <w:r w:rsidRPr="002662B5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  <w:r w:rsidR="004541DA" w:rsidRPr="002662B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685A" w:rsidRPr="002662B5"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2662B5">
        <w:rPr>
          <w:rFonts w:ascii="Times New Roman" w:hAnsi="Times New Roman" w:cs="Times New Roman"/>
          <w:sz w:val="28"/>
          <w:szCs w:val="28"/>
        </w:rPr>
        <w:t xml:space="preserve">Регистрация по ссылке </w:t>
      </w:r>
      <w:hyperlink r:id="rId8" w:history="1">
        <w:r w:rsidR="003D2035" w:rsidRPr="002662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https://msppk.ru/events/konsultatsiya-po-vozmozhnosti-vklyucheniya-subektov-msp-v-reestr-sotsialnykh-predpriyatiy/</w:t>
        </w:r>
      </w:hyperlink>
    </w:p>
    <w:p w:rsidR="0042261C" w:rsidRDefault="0042261C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B5" w:rsidRDefault="002662B5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B5" w:rsidRPr="002662B5" w:rsidRDefault="002662B5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51" w:rsidRDefault="00756844" w:rsidP="002662B5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B5">
        <w:rPr>
          <w:rFonts w:ascii="Times New Roman" w:hAnsi="Times New Roman" w:cs="Times New Roman"/>
          <w:b/>
          <w:sz w:val="28"/>
          <w:szCs w:val="28"/>
        </w:rPr>
        <w:lastRenderedPageBreak/>
        <w:t>Прямая линия</w:t>
      </w:r>
      <w:r w:rsidR="0026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B5">
        <w:rPr>
          <w:rFonts w:ascii="Times New Roman" w:hAnsi="Times New Roman" w:cs="Times New Roman"/>
          <w:b/>
          <w:sz w:val="28"/>
          <w:szCs w:val="28"/>
        </w:rPr>
        <w:t>«</w:t>
      </w:r>
      <w:r w:rsidR="003D2035" w:rsidRPr="002662B5">
        <w:rPr>
          <w:rFonts w:ascii="Times New Roman" w:hAnsi="Times New Roman" w:cs="Times New Roman"/>
          <w:b/>
          <w:sz w:val="28"/>
          <w:szCs w:val="28"/>
        </w:rPr>
        <w:t>Страховые взносы: исчисление и типовые ошибки</w:t>
      </w:r>
      <w:r w:rsidRPr="002662B5">
        <w:rPr>
          <w:rFonts w:ascii="Times New Roman" w:hAnsi="Times New Roman" w:cs="Times New Roman"/>
          <w:b/>
          <w:sz w:val="28"/>
          <w:szCs w:val="28"/>
        </w:rPr>
        <w:t>»</w:t>
      </w:r>
    </w:p>
    <w:p w:rsidR="002662B5" w:rsidRPr="002662B5" w:rsidRDefault="002662B5" w:rsidP="002662B5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35" w:rsidRPr="002662B5" w:rsidRDefault="003D2035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Мероприятие проходит в рамках цикла вебинаров «Диалоги о налогах». Прямая линия посвящена особенностям и порядку исчисления и оплаты сумм страховых взносов как при начислении заработной платы и иных вознаграждений, так и оплаты страховых взносов индивидуальными предпринимателями.</w:t>
      </w:r>
    </w:p>
    <w:p w:rsidR="003D2035" w:rsidRPr="002662B5" w:rsidRDefault="003D2035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Предварительные вопросы могут быть направлены на e-mail: call@zpp-perm.ru, а также оставлены в виде комментариев в социальных сетях во время трансляции мероприятия.</w:t>
      </w:r>
    </w:p>
    <w:p w:rsidR="00DE3992" w:rsidRPr="002662B5" w:rsidRDefault="00DE0F51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D2035" w:rsidRPr="002662B5">
        <w:rPr>
          <w:rFonts w:ascii="Times New Roman" w:hAnsi="Times New Roman" w:cs="Times New Roman"/>
          <w:sz w:val="28"/>
          <w:szCs w:val="28"/>
        </w:rPr>
        <w:t>16</w:t>
      </w:r>
      <w:r w:rsidR="00756844" w:rsidRPr="002662B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E3992" w:rsidRPr="002662B5">
        <w:rPr>
          <w:rFonts w:ascii="Times New Roman" w:hAnsi="Times New Roman" w:cs="Times New Roman"/>
          <w:sz w:val="28"/>
          <w:szCs w:val="28"/>
        </w:rPr>
        <w:t xml:space="preserve"> 202</w:t>
      </w:r>
      <w:r w:rsidR="003D2035" w:rsidRPr="002662B5">
        <w:rPr>
          <w:rFonts w:ascii="Times New Roman" w:hAnsi="Times New Roman" w:cs="Times New Roman"/>
          <w:sz w:val="28"/>
          <w:szCs w:val="28"/>
        </w:rPr>
        <w:t>2 года. Начало в 10</w:t>
      </w:r>
      <w:r w:rsidRPr="002662B5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Регистрация по ссылке </w:t>
      </w:r>
      <w:hyperlink r:id="rId9" w:history="1">
        <w:r w:rsidR="003D2035" w:rsidRPr="002662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https://msppk.ru/events/strakhovye-vznosy-ischislenie-i-tipovye-oshibki/</w:t>
        </w:r>
      </w:hyperlink>
    </w:p>
    <w:p w:rsidR="003D2035" w:rsidRPr="002662B5" w:rsidRDefault="003D2035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22" w:rsidRDefault="003D2035" w:rsidP="002662B5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B5">
        <w:rPr>
          <w:rFonts w:ascii="Times New Roman" w:hAnsi="Times New Roman" w:cs="Times New Roman"/>
          <w:b/>
          <w:sz w:val="28"/>
          <w:szCs w:val="28"/>
        </w:rPr>
        <w:t>Вебинар</w:t>
      </w:r>
      <w:r w:rsidR="0026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73" w:rsidRPr="002662B5">
        <w:rPr>
          <w:rFonts w:ascii="Times New Roman" w:hAnsi="Times New Roman" w:cs="Times New Roman"/>
          <w:sz w:val="28"/>
          <w:szCs w:val="28"/>
        </w:rPr>
        <w:t>«</w:t>
      </w:r>
      <w:r w:rsidRPr="002662B5">
        <w:rPr>
          <w:rFonts w:ascii="Times New Roman" w:hAnsi="Times New Roman" w:cs="Times New Roman"/>
          <w:b/>
          <w:sz w:val="28"/>
          <w:szCs w:val="28"/>
        </w:rPr>
        <w:t>ТОП-20 популярных категорий товаров на eBay, Etsy, Amazon</w:t>
      </w:r>
      <w:r w:rsidR="00016F73" w:rsidRPr="002662B5">
        <w:rPr>
          <w:rFonts w:ascii="Times New Roman" w:hAnsi="Times New Roman" w:cs="Times New Roman"/>
          <w:b/>
          <w:sz w:val="28"/>
          <w:szCs w:val="28"/>
        </w:rPr>
        <w:t>»</w:t>
      </w:r>
    </w:p>
    <w:p w:rsidR="002662B5" w:rsidRPr="002662B5" w:rsidRDefault="002662B5" w:rsidP="002662B5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D2035" w:rsidRPr="002662B5" w:rsidRDefault="003D2035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На вебинаре расскажем о том, как адаптировать товар под зарубежный рынок и подготовить качественный контент для размещения на площадке – что больше всего притягивает иностранных покупателей.</w:t>
      </w:r>
    </w:p>
    <w:p w:rsidR="003D2035" w:rsidRPr="002662B5" w:rsidRDefault="003D2035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В программе:</w:t>
      </w:r>
    </w:p>
    <w:p w:rsidR="00981B6C" w:rsidRPr="002662B5" w:rsidRDefault="003D2035" w:rsidP="002662B5">
      <w:pPr>
        <w:pStyle w:val="a5"/>
        <w:numPr>
          <w:ilvl w:val="0"/>
          <w:numId w:val="4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ключевые моменты настройки платежных систем и политик на маркетплейсах</w:t>
      </w:r>
      <w:r w:rsidR="002662B5">
        <w:rPr>
          <w:rFonts w:ascii="Times New Roman" w:hAnsi="Times New Roman" w:cs="Times New Roman"/>
          <w:sz w:val="28"/>
          <w:szCs w:val="28"/>
        </w:rPr>
        <w:t>;</w:t>
      </w:r>
    </w:p>
    <w:p w:rsidR="00981B6C" w:rsidRPr="002662B5" w:rsidRDefault="003D2035" w:rsidP="002662B5">
      <w:pPr>
        <w:pStyle w:val="a5"/>
        <w:numPr>
          <w:ilvl w:val="0"/>
          <w:numId w:val="4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как провести ценообразование и</w:t>
      </w:r>
      <w:r w:rsidR="002662B5">
        <w:rPr>
          <w:rFonts w:ascii="Times New Roman" w:hAnsi="Times New Roman" w:cs="Times New Roman"/>
          <w:sz w:val="28"/>
          <w:szCs w:val="28"/>
        </w:rPr>
        <w:t>сходя из комиссий маркетплейсов;</w:t>
      </w:r>
    </w:p>
    <w:p w:rsidR="003D2035" w:rsidRPr="002662B5" w:rsidRDefault="003D2035" w:rsidP="002662B5">
      <w:pPr>
        <w:pStyle w:val="a5"/>
        <w:numPr>
          <w:ilvl w:val="0"/>
          <w:numId w:val="4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какие налоги вам необходимо будет учесть в себестоимости товаров.</w:t>
      </w:r>
    </w:p>
    <w:p w:rsidR="00016F73" w:rsidRPr="002662B5" w:rsidRDefault="00016F73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81B6C" w:rsidRPr="002662B5">
        <w:rPr>
          <w:rFonts w:ascii="Times New Roman" w:hAnsi="Times New Roman" w:cs="Times New Roman"/>
          <w:sz w:val="28"/>
          <w:szCs w:val="28"/>
        </w:rPr>
        <w:t>17 февраля 2022 года. Начало в 13</w:t>
      </w:r>
      <w:r w:rsidRPr="002662B5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Регистрация по ссылке </w:t>
      </w:r>
      <w:hyperlink r:id="rId10" w:history="1">
        <w:r w:rsidR="00981B6C" w:rsidRPr="002662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https://msppk.ru/events/top-20-populyarnykh-kategoriy-tovarov-na-ebay-etsy-amazon/</w:t>
        </w:r>
      </w:hyperlink>
    </w:p>
    <w:p w:rsidR="00981B6C" w:rsidRPr="002662B5" w:rsidRDefault="00981B6C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94" w:rsidRDefault="00981B6C" w:rsidP="002662B5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B5">
        <w:rPr>
          <w:rFonts w:ascii="Times New Roman" w:hAnsi="Times New Roman" w:cs="Times New Roman"/>
          <w:b/>
          <w:sz w:val="28"/>
          <w:szCs w:val="28"/>
        </w:rPr>
        <w:t>Публичные обсуждения результатов правоприменительной практики налоговых органов</w:t>
      </w:r>
    </w:p>
    <w:p w:rsidR="002662B5" w:rsidRPr="002662B5" w:rsidRDefault="002662B5" w:rsidP="002662B5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6C" w:rsidRPr="002662B5" w:rsidRDefault="00C956EF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Управление ФНС по Пермскому краю приглашает на публичные обсужденияправоприменительной практики налоговых органов.</w:t>
      </w:r>
    </w:p>
    <w:p w:rsidR="00C956EF" w:rsidRPr="002662B5" w:rsidRDefault="00C956EF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lastRenderedPageBreak/>
        <w:t>В программе:</w:t>
      </w:r>
    </w:p>
    <w:p w:rsidR="00C956EF" w:rsidRPr="002662B5" w:rsidRDefault="00981B6C" w:rsidP="002662B5">
      <w:pPr>
        <w:pStyle w:val="a5"/>
        <w:numPr>
          <w:ilvl w:val="0"/>
          <w:numId w:val="4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Результаты декларационной кампании 2021 года и актуальные вопросы декларирования доходов граждан за 2021 год.</w:t>
      </w:r>
    </w:p>
    <w:p w:rsidR="00981B6C" w:rsidRPr="002662B5" w:rsidRDefault="00981B6C" w:rsidP="002662B5">
      <w:pPr>
        <w:pStyle w:val="a5"/>
        <w:numPr>
          <w:ilvl w:val="0"/>
          <w:numId w:val="4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Основные изменения налогового законодательства по налогу на добавленную стоимость, налогу на прибыль организаций, УСН и ПСН в 2021-2022 годах.</w:t>
      </w:r>
    </w:p>
    <w:p w:rsidR="004F2E80" w:rsidRPr="002662B5" w:rsidRDefault="00654B94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956EF" w:rsidRPr="002662B5">
        <w:rPr>
          <w:rFonts w:ascii="Times New Roman" w:hAnsi="Times New Roman" w:cs="Times New Roman"/>
          <w:sz w:val="28"/>
          <w:szCs w:val="28"/>
        </w:rPr>
        <w:t>17</w:t>
      </w:r>
      <w:r w:rsidR="00C46DD8" w:rsidRPr="002662B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2662B5">
        <w:rPr>
          <w:rFonts w:ascii="Times New Roman" w:hAnsi="Times New Roman" w:cs="Times New Roman"/>
          <w:sz w:val="28"/>
          <w:szCs w:val="28"/>
        </w:rPr>
        <w:t>202</w:t>
      </w:r>
      <w:r w:rsidR="00C46DD8" w:rsidRPr="002662B5">
        <w:rPr>
          <w:rFonts w:ascii="Times New Roman" w:hAnsi="Times New Roman" w:cs="Times New Roman"/>
          <w:sz w:val="28"/>
          <w:szCs w:val="28"/>
        </w:rPr>
        <w:t>2</w:t>
      </w:r>
      <w:r w:rsidRPr="002662B5"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="00C956EF" w:rsidRPr="002662B5">
        <w:rPr>
          <w:rFonts w:ascii="Times New Roman" w:hAnsi="Times New Roman" w:cs="Times New Roman"/>
          <w:sz w:val="28"/>
          <w:szCs w:val="28"/>
        </w:rPr>
        <w:t>5</w:t>
      </w:r>
      <w:r w:rsidRPr="002662B5">
        <w:rPr>
          <w:rFonts w:ascii="Times New Roman" w:hAnsi="Times New Roman" w:cs="Times New Roman"/>
          <w:sz w:val="28"/>
          <w:szCs w:val="28"/>
        </w:rPr>
        <w:t xml:space="preserve">.00. </w:t>
      </w:r>
      <w:r w:rsidR="00C956EF" w:rsidRPr="002662B5">
        <w:rPr>
          <w:rFonts w:ascii="Times New Roman" w:hAnsi="Times New Roman" w:cs="Times New Roman"/>
          <w:sz w:val="28"/>
          <w:szCs w:val="28"/>
        </w:rPr>
        <w:t xml:space="preserve">Формат проведения – онлайн. </w:t>
      </w:r>
      <w:r w:rsidRPr="002662B5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  <w:r w:rsidR="00C956EF" w:rsidRPr="002662B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914C11" w:rsidRPr="002662B5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1" w:history="1">
        <w:r w:rsidR="00C956EF" w:rsidRPr="002662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https://msppk.ru/events/publichnye-obsuzhdeniya-rezultatov-pravoprimenitelnoy-praktiki/</w:t>
        </w:r>
      </w:hyperlink>
    </w:p>
    <w:p w:rsidR="00C956EF" w:rsidRPr="002662B5" w:rsidRDefault="00C956EF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6EF" w:rsidRDefault="00C956EF" w:rsidP="002662B5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B5">
        <w:rPr>
          <w:rFonts w:ascii="Times New Roman" w:hAnsi="Times New Roman" w:cs="Times New Roman"/>
          <w:b/>
          <w:sz w:val="28"/>
          <w:szCs w:val="28"/>
        </w:rPr>
        <w:t>Вебинар</w:t>
      </w:r>
      <w:r w:rsidR="0026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B5">
        <w:rPr>
          <w:rFonts w:ascii="Times New Roman" w:hAnsi="Times New Roman" w:cs="Times New Roman"/>
          <w:b/>
          <w:sz w:val="28"/>
          <w:szCs w:val="28"/>
        </w:rPr>
        <w:t>«Федеральные стандарты бухгалтерского учета. ФСБУ 6/2020 «Основные средства»</w:t>
      </w:r>
    </w:p>
    <w:p w:rsidR="002662B5" w:rsidRPr="002662B5" w:rsidRDefault="002662B5" w:rsidP="002662B5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6EF" w:rsidRPr="002662B5" w:rsidRDefault="00C956EF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В период с 15 по 28 февраля 2022 года состоится цикл вебинаров на тему «Федеральные стандарты бухгалтерского учета».</w:t>
      </w:r>
    </w:p>
    <w:p w:rsidR="00C956EF" w:rsidRPr="002662B5" w:rsidRDefault="00C956EF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18 февраля приглашаем принять участие во втором вебинаре на тему ФСБУ 6/2020 «Основные средства».</w:t>
      </w:r>
    </w:p>
    <w:p w:rsidR="00C956EF" w:rsidRPr="002662B5" w:rsidRDefault="00C956EF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Программа:</w:t>
      </w:r>
    </w:p>
    <w:p w:rsidR="00C956EF" w:rsidRPr="002662B5" w:rsidRDefault="00C956EF" w:rsidP="002662B5">
      <w:pPr>
        <w:pStyle w:val="a5"/>
        <w:numPr>
          <w:ilvl w:val="0"/>
          <w:numId w:val="4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Сферы действия стандартов</w:t>
      </w:r>
      <w:r w:rsidR="002662B5">
        <w:rPr>
          <w:rFonts w:ascii="Times New Roman" w:hAnsi="Times New Roman" w:cs="Times New Roman"/>
          <w:sz w:val="28"/>
          <w:szCs w:val="28"/>
        </w:rPr>
        <w:t>;</w:t>
      </w:r>
    </w:p>
    <w:p w:rsidR="00C956EF" w:rsidRPr="002662B5" w:rsidRDefault="00C956EF" w:rsidP="002662B5">
      <w:pPr>
        <w:pStyle w:val="a5"/>
        <w:numPr>
          <w:ilvl w:val="0"/>
          <w:numId w:val="4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Переходные положения</w:t>
      </w:r>
      <w:r w:rsidR="002662B5">
        <w:rPr>
          <w:rFonts w:ascii="Times New Roman" w:hAnsi="Times New Roman" w:cs="Times New Roman"/>
          <w:sz w:val="28"/>
          <w:szCs w:val="28"/>
        </w:rPr>
        <w:t>;</w:t>
      </w:r>
    </w:p>
    <w:p w:rsidR="00C956EF" w:rsidRPr="002662B5" w:rsidRDefault="00C956EF" w:rsidP="002662B5">
      <w:pPr>
        <w:pStyle w:val="a5"/>
        <w:numPr>
          <w:ilvl w:val="0"/>
          <w:numId w:val="4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Особенности применения</w:t>
      </w:r>
      <w:bookmarkStart w:id="0" w:name="_GoBack"/>
      <w:bookmarkEnd w:id="0"/>
      <w:r w:rsidR="002662B5">
        <w:rPr>
          <w:rFonts w:ascii="Times New Roman" w:hAnsi="Times New Roman" w:cs="Times New Roman"/>
          <w:sz w:val="28"/>
          <w:szCs w:val="28"/>
        </w:rPr>
        <w:t>;</w:t>
      </w:r>
    </w:p>
    <w:p w:rsidR="00C956EF" w:rsidRPr="002662B5" w:rsidRDefault="00C956EF" w:rsidP="002662B5">
      <w:pPr>
        <w:pStyle w:val="a5"/>
        <w:numPr>
          <w:ilvl w:val="0"/>
          <w:numId w:val="4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Ответы на вопросы</w:t>
      </w:r>
      <w:r w:rsidR="002662B5">
        <w:rPr>
          <w:rFonts w:ascii="Times New Roman" w:hAnsi="Times New Roman" w:cs="Times New Roman"/>
          <w:sz w:val="28"/>
          <w:szCs w:val="28"/>
        </w:rPr>
        <w:t>.</w:t>
      </w:r>
    </w:p>
    <w:p w:rsidR="00C956EF" w:rsidRPr="002662B5" w:rsidRDefault="00C956EF" w:rsidP="00266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 xml:space="preserve">Дата проведения: 18 февраля 2022 года. Начало в 10.00. Формат проведения – онлайн. Участие бесплатное. Регистрация по ссылке </w:t>
      </w:r>
      <w:hyperlink r:id="rId12" w:history="1">
        <w:r w:rsidRPr="002662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https://msppk.ru/events/federalnye-standarty-bukhgalterskogo-ucheta-fsbu-6-2020-osnovnye-sredstva/</w:t>
        </w:r>
      </w:hyperlink>
    </w:p>
    <w:sectPr w:rsidR="00C956EF" w:rsidRPr="002662B5" w:rsidSect="004B48B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3B" w:rsidRDefault="00D76D3B" w:rsidP="00D95CB3">
      <w:pPr>
        <w:spacing w:after="0" w:line="240" w:lineRule="auto"/>
      </w:pPr>
      <w:r>
        <w:separator/>
      </w:r>
    </w:p>
  </w:endnote>
  <w:endnote w:type="continuationSeparator" w:id="1">
    <w:p w:rsidR="00D76D3B" w:rsidRDefault="00D76D3B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3B" w:rsidRDefault="00D76D3B" w:rsidP="00D95CB3">
      <w:pPr>
        <w:spacing w:after="0" w:line="240" w:lineRule="auto"/>
      </w:pPr>
      <w:r>
        <w:separator/>
      </w:r>
    </w:p>
  </w:footnote>
  <w:footnote w:type="continuationSeparator" w:id="1">
    <w:p w:rsidR="00D76D3B" w:rsidRDefault="00D76D3B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B3" w:rsidRDefault="00D95CB3">
    <w:pPr>
      <w:pStyle w:val="aa"/>
    </w:pPr>
    <w:r>
      <w:rPr>
        <w:noProof/>
        <w:lang w:eastAsia="ru-RU" w:bidi="mni-IN"/>
      </w:rPr>
      <w:drawing>
        <wp:inline distT="0" distB="0" distL="0" distR="0">
          <wp:extent cx="632551" cy="485775"/>
          <wp:effectExtent l="0" t="0" r="0" b="0"/>
          <wp:docPr id="4" name="Рисунок 4" descr="C:\Users\larisa.r\Documents\логотипы\logo_n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risa.r\Documents\логотипы\logo_n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8" cy="4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 w:bidi="mni-IN"/>
      </w:rPr>
      <w:drawing>
        <wp:inline distT="0" distB="0" distL="0" distR="0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 w:bidi="mni-IN"/>
      </w:rPr>
      <w:drawing>
        <wp:inline distT="0" distB="0" distL="0" distR="0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 w:bidi="mni-IN"/>
      </w:rPr>
      <w:drawing>
        <wp:inline distT="0" distB="0" distL="0" distR="0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21C8"/>
    <w:multiLevelType w:val="hybridMultilevel"/>
    <w:tmpl w:val="74AC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60AC"/>
    <w:multiLevelType w:val="hybridMultilevel"/>
    <w:tmpl w:val="C6D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E3871"/>
    <w:multiLevelType w:val="hybridMultilevel"/>
    <w:tmpl w:val="3230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5547A"/>
    <w:multiLevelType w:val="hybridMultilevel"/>
    <w:tmpl w:val="15F8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E350F"/>
    <w:multiLevelType w:val="hybridMultilevel"/>
    <w:tmpl w:val="9E10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A4A9E"/>
    <w:multiLevelType w:val="hybridMultilevel"/>
    <w:tmpl w:val="C906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D2136"/>
    <w:multiLevelType w:val="hybridMultilevel"/>
    <w:tmpl w:val="AD62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D2432"/>
    <w:multiLevelType w:val="hybridMultilevel"/>
    <w:tmpl w:val="A0FE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333A4"/>
    <w:multiLevelType w:val="hybridMultilevel"/>
    <w:tmpl w:val="A972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97D5F"/>
    <w:multiLevelType w:val="hybridMultilevel"/>
    <w:tmpl w:val="D158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A336E"/>
    <w:multiLevelType w:val="hybridMultilevel"/>
    <w:tmpl w:val="682E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E0BE4"/>
    <w:multiLevelType w:val="hybridMultilevel"/>
    <w:tmpl w:val="9966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819D9"/>
    <w:multiLevelType w:val="hybridMultilevel"/>
    <w:tmpl w:val="BA08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7225E"/>
    <w:multiLevelType w:val="hybridMultilevel"/>
    <w:tmpl w:val="2B4E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44E58"/>
    <w:multiLevelType w:val="hybridMultilevel"/>
    <w:tmpl w:val="8542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A1519"/>
    <w:multiLevelType w:val="hybridMultilevel"/>
    <w:tmpl w:val="280C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11"/>
  </w:num>
  <w:num w:numId="5">
    <w:abstractNumId w:val="39"/>
  </w:num>
  <w:num w:numId="6">
    <w:abstractNumId w:val="25"/>
  </w:num>
  <w:num w:numId="7">
    <w:abstractNumId w:val="37"/>
  </w:num>
  <w:num w:numId="8">
    <w:abstractNumId w:val="13"/>
  </w:num>
  <w:num w:numId="9">
    <w:abstractNumId w:val="2"/>
  </w:num>
  <w:num w:numId="10">
    <w:abstractNumId w:val="40"/>
  </w:num>
  <w:num w:numId="11">
    <w:abstractNumId w:val="0"/>
  </w:num>
  <w:num w:numId="12">
    <w:abstractNumId w:val="34"/>
  </w:num>
  <w:num w:numId="13">
    <w:abstractNumId w:val="43"/>
  </w:num>
  <w:num w:numId="14">
    <w:abstractNumId w:val="33"/>
  </w:num>
  <w:num w:numId="15">
    <w:abstractNumId w:val="7"/>
  </w:num>
  <w:num w:numId="16">
    <w:abstractNumId w:val="21"/>
  </w:num>
  <w:num w:numId="17">
    <w:abstractNumId w:val="8"/>
  </w:num>
  <w:num w:numId="18">
    <w:abstractNumId w:val="5"/>
  </w:num>
  <w:num w:numId="19">
    <w:abstractNumId w:val="35"/>
  </w:num>
  <w:num w:numId="20">
    <w:abstractNumId w:val="36"/>
  </w:num>
  <w:num w:numId="21">
    <w:abstractNumId w:val="18"/>
  </w:num>
  <w:num w:numId="22">
    <w:abstractNumId w:val="38"/>
  </w:num>
  <w:num w:numId="23">
    <w:abstractNumId w:val="32"/>
  </w:num>
  <w:num w:numId="24">
    <w:abstractNumId w:val="16"/>
  </w:num>
  <w:num w:numId="25">
    <w:abstractNumId w:val="15"/>
  </w:num>
  <w:num w:numId="26">
    <w:abstractNumId w:val="41"/>
  </w:num>
  <w:num w:numId="27">
    <w:abstractNumId w:val="42"/>
  </w:num>
  <w:num w:numId="28">
    <w:abstractNumId w:val="10"/>
  </w:num>
  <w:num w:numId="29">
    <w:abstractNumId w:val="14"/>
  </w:num>
  <w:num w:numId="30">
    <w:abstractNumId w:val="28"/>
  </w:num>
  <w:num w:numId="31">
    <w:abstractNumId w:val="19"/>
  </w:num>
  <w:num w:numId="32">
    <w:abstractNumId w:val="29"/>
  </w:num>
  <w:num w:numId="33">
    <w:abstractNumId w:val="3"/>
  </w:num>
  <w:num w:numId="34">
    <w:abstractNumId w:val="23"/>
  </w:num>
  <w:num w:numId="35">
    <w:abstractNumId w:val="12"/>
  </w:num>
  <w:num w:numId="36">
    <w:abstractNumId w:val="6"/>
  </w:num>
  <w:num w:numId="37">
    <w:abstractNumId w:val="22"/>
  </w:num>
  <w:num w:numId="38">
    <w:abstractNumId w:val="27"/>
  </w:num>
  <w:num w:numId="39">
    <w:abstractNumId w:val="17"/>
  </w:num>
  <w:num w:numId="40">
    <w:abstractNumId w:val="4"/>
  </w:num>
  <w:num w:numId="41">
    <w:abstractNumId w:val="31"/>
  </w:num>
  <w:num w:numId="42">
    <w:abstractNumId w:val="1"/>
  </w:num>
  <w:num w:numId="43">
    <w:abstractNumId w:val="30"/>
  </w:num>
  <w:num w:numId="4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38D7"/>
    <w:rsid w:val="001B4AFD"/>
    <w:rsid w:val="001C3A10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662B5"/>
    <w:rsid w:val="00271B7C"/>
    <w:rsid w:val="002778F6"/>
    <w:rsid w:val="002841A1"/>
    <w:rsid w:val="002A76B5"/>
    <w:rsid w:val="002D6218"/>
    <w:rsid w:val="002F03D1"/>
    <w:rsid w:val="002F6B37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B48B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167EB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44171"/>
    <w:rsid w:val="00753C7A"/>
    <w:rsid w:val="00756844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76D3B"/>
    <w:rsid w:val="00D91A40"/>
    <w:rsid w:val="00D95CB3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konsultatsiya-po-vozmozhnosti-vklyucheniya-subektov-msp-v-reestr-sotsialnykh-predpriyati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federalnye-standarty-bukhgalterskogo-ucheta-fsbu-25-2018-bukhgalterskiy-uchet-arendy/" TargetMode="External"/><Relationship Id="rId12" Type="http://schemas.openxmlformats.org/officeDocument/2006/relationships/hyperlink" Target="https://msppk.ru/events/federalnye-standarty-bukhgalterskogo-ucheta-fsbu-6-2020-osnovnye-sredstva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ppk.ru/events/publichnye-obsuzhdeniya-rezultatov-pravoprimenitelnoy-praktik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sppk.ru/events/top-20-populyarnykh-kategoriy-tovarov-na-ebay-etsy-amaz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strakhovye-vznosy-ischislenie-i-tipovye-oshibk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3</cp:revision>
  <dcterms:created xsi:type="dcterms:W3CDTF">2022-02-14T04:43:00Z</dcterms:created>
  <dcterms:modified xsi:type="dcterms:W3CDTF">2022-02-14T04:46:00Z</dcterms:modified>
</cp:coreProperties>
</file>